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1187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1187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1187C">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73A5E155" w:rsidR="00E978D0" w:rsidRPr="00B57B36" w:rsidRDefault="0001187C" w:rsidP="00E978D0">
      <w:pPr>
        <w:pStyle w:val="CETTitle"/>
      </w:pPr>
      <w:r w:rsidRPr="0001187C">
        <w:t>The Role of Natural Gas in the South African Energy Mix</w:t>
      </w:r>
    </w:p>
    <w:p w14:paraId="0488FED2" w14:textId="34A1AECD" w:rsidR="00B57E6F" w:rsidRPr="00B57B36" w:rsidRDefault="0001187C" w:rsidP="00B57E6F">
      <w:pPr>
        <w:pStyle w:val="CETAuthors"/>
      </w:pPr>
      <w:r>
        <w:t>Touhami Mokrani</w:t>
      </w:r>
    </w:p>
    <w:p w14:paraId="6B2D21B3" w14:textId="76C9FAB4" w:rsidR="00B57E6F" w:rsidRPr="00B57B36" w:rsidRDefault="0001187C" w:rsidP="00B57E6F">
      <w:pPr>
        <w:pStyle w:val="CETAddress"/>
      </w:pPr>
      <w:r>
        <w:t>Institute for Catalysis and Energy Solutions (ICES), College of Science, Engineering and Technology, University of South Africa</w:t>
      </w:r>
      <w:r w:rsidR="00B57E6F" w:rsidRPr="00B57B36">
        <w:t xml:space="preserve"> </w:t>
      </w:r>
    </w:p>
    <w:p w14:paraId="73F1267A" w14:textId="48717CFF" w:rsidR="00B57E6F" w:rsidRPr="00B57B36" w:rsidRDefault="0001187C" w:rsidP="00B57E6F">
      <w:pPr>
        <w:pStyle w:val="CETemail"/>
      </w:pPr>
      <w:r>
        <w:t>tmokrani</w:t>
      </w:r>
      <w:r w:rsidR="00B57E6F" w:rsidRPr="00B57B36">
        <w:t>@</w:t>
      </w:r>
      <w:r>
        <w:t>unisa.ac.za</w:t>
      </w:r>
    </w:p>
    <w:p w14:paraId="504C2443" w14:textId="264AF758" w:rsidR="00C97D3D" w:rsidRDefault="00C97D3D" w:rsidP="00E438A6">
      <w:pPr>
        <w:pStyle w:val="CETnumberingbullets"/>
        <w:numPr>
          <w:ilvl w:val="0"/>
          <w:numId w:val="0"/>
        </w:numPr>
        <w:jc w:val="both"/>
      </w:pPr>
      <w:bookmarkStart w:id="0" w:name="_Hlk495475023"/>
      <w:r>
        <w:t>Natural gas is acknowledged as the fuel for the 21</w:t>
      </w:r>
      <w:r w:rsidRPr="00D3264F">
        <w:rPr>
          <w:vertAlign w:val="superscript"/>
        </w:rPr>
        <w:t>st</w:t>
      </w:r>
      <w:r w:rsidR="00D3264F">
        <w:t xml:space="preserve"> </w:t>
      </w:r>
      <w:r>
        <w:t>century, it is the cleanest fossil fuel. Natural gas is the</w:t>
      </w:r>
      <w:r w:rsidR="00E438A6">
        <w:t xml:space="preserve"> </w:t>
      </w:r>
      <w:r>
        <w:t>fastest growing energy source, it will dominate the energy sector for the next 30 years (</w:t>
      </w:r>
      <w:proofErr w:type="gramStart"/>
      <w:r>
        <w:t>i.e.</w:t>
      </w:r>
      <w:proofErr w:type="gramEnd"/>
      <w:r>
        <w:t xml:space="preserve"> 2050).</w:t>
      </w:r>
      <w:r w:rsidR="00E438A6">
        <w:t xml:space="preserve"> </w:t>
      </w:r>
      <w:r>
        <w:t>The world proven reserves in 2018 w</w:t>
      </w:r>
      <w:r w:rsidR="00441983">
        <w:t>ere</w:t>
      </w:r>
      <w:r>
        <w:t xml:space="preserve"> 196.9</w:t>
      </w:r>
      <w:r w:rsidR="002F6B6A">
        <w:t xml:space="preserve"> </w:t>
      </w:r>
      <w:bookmarkStart w:id="1" w:name="_Hlk107460676"/>
      <w:r w:rsidR="002F6B6A">
        <w:rPr>
          <w:rFonts w:cs="Arial"/>
        </w:rPr>
        <w:t>×</w:t>
      </w:r>
      <w:r w:rsidR="002F6B6A">
        <w:t xml:space="preserve"> 10</w:t>
      </w:r>
      <w:r w:rsidR="002F6B6A">
        <w:rPr>
          <w:vertAlign w:val="superscript"/>
        </w:rPr>
        <w:t>12</w:t>
      </w:r>
      <w:r>
        <w:t xml:space="preserve"> </w:t>
      </w:r>
      <w:r w:rsidR="002F6B6A">
        <w:t>m</w:t>
      </w:r>
      <w:r w:rsidR="002F6B6A">
        <w:rPr>
          <w:vertAlign w:val="superscript"/>
        </w:rPr>
        <w:t>3</w:t>
      </w:r>
      <w:bookmarkEnd w:id="1"/>
      <w:r>
        <w:t>, if we take 2018 gas consumption,</w:t>
      </w:r>
      <w:r w:rsidR="00E438A6">
        <w:t xml:space="preserve"> </w:t>
      </w:r>
      <w:r>
        <w:t xml:space="preserve">this gas will take us another 51 years. The world natural gas reserves increased from 130.8 </w:t>
      </w:r>
      <w:r w:rsidR="002F6B6A">
        <w:rPr>
          <w:rFonts w:cs="Arial"/>
        </w:rPr>
        <w:t>×</w:t>
      </w:r>
      <w:r w:rsidR="002F6B6A">
        <w:t xml:space="preserve"> 10</w:t>
      </w:r>
      <w:r w:rsidR="002F6B6A">
        <w:rPr>
          <w:vertAlign w:val="superscript"/>
        </w:rPr>
        <w:t>12</w:t>
      </w:r>
      <w:r w:rsidR="002F6B6A">
        <w:t xml:space="preserve"> m</w:t>
      </w:r>
      <w:r w:rsidR="002F6B6A">
        <w:rPr>
          <w:vertAlign w:val="superscript"/>
        </w:rPr>
        <w:t>3</w:t>
      </w:r>
      <w:r>
        <w:t xml:space="preserve"> in 1998, to</w:t>
      </w:r>
      <w:r w:rsidR="00E438A6">
        <w:t xml:space="preserve"> </w:t>
      </w:r>
      <w:r>
        <w:t xml:space="preserve">170.2 </w:t>
      </w:r>
      <w:r w:rsidR="002F6B6A">
        <w:rPr>
          <w:rFonts w:cs="Arial"/>
        </w:rPr>
        <w:t>×</w:t>
      </w:r>
      <w:r w:rsidR="002F6B6A">
        <w:t xml:space="preserve"> 10</w:t>
      </w:r>
      <w:r w:rsidR="002F6B6A">
        <w:rPr>
          <w:vertAlign w:val="superscript"/>
        </w:rPr>
        <w:t>12</w:t>
      </w:r>
      <w:r w:rsidR="002F6B6A">
        <w:t xml:space="preserve"> m</w:t>
      </w:r>
      <w:r w:rsidR="002F6B6A">
        <w:rPr>
          <w:vertAlign w:val="superscript"/>
        </w:rPr>
        <w:t>3</w:t>
      </w:r>
      <w:r>
        <w:t xml:space="preserve"> in 2008, to 196.9 </w:t>
      </w:r>
      <w:r w:rsidR="002F6B6A">
        <w:rPr>
          <w:rFonts w:cs="Arial"/>
        </w:rPr>
        <w:t>×</w:t>
      </w:r>
      <w:r w:rsidR="002F6B6A">
        <w:t xml:space="preserve"> 10</w:t>
      </w:r>
      <w:r w:rsidR="002F6B6A">
        <w:rPr>
          <w:vertAlign w:val="superscript"/>
        </w:rPr>
        <w:t>12</w:t>
      </w:r>
      <w:r w:rsidR="002F6B6A">
        <w:t xml:space="preserve"> m</w:t>
      </w:r>
      <w:r w:rsidR="002F6B6A">
        <w:rPr>
          <w:vertAlign w:val="superscript"/>
        </w:rPr>
        <w:t>3</w:t>
      </w:r>
      <w:r>
        <w:t xml:space="preserve"> in 2018. The world gas reserves will keep increasing for both conventional and non-conventional gas (</w:t>
      </w:r>
      <w:proofErr w:type="gramStart"/>
      <w:r>
        <w:t>i.e.</w:t>
      </w:r>
      <w:proofErr w:type="gramEnd"/>
      <w:r>
        <w:t xml:space="preserve"> shale gas). </w:t>
      </w:r>
    </w:p>
    <w:p w14:paraId="40F50076" w14:textId="1B377D4A" w:rsidR="00C97D3D" w:rsidRPr="00C97D3D" w:rsidRDefault="00C97D3D" w:rsidP="00E438A6">
      <w:pPr>
        <w:pStyle w:val="CETnumberingbullets"/>
        <w:numPr>
          <w:ilvl w:val="0"/>
          <w:numId w:val="0"/>
        </w:numPr>
        <w:jc w:val="both"/>
        <w:rPr>
          <w:b/>
        </w:rPr>
      </w:pPr>
      <w:r>
        <w:t>The world electricity production by source in 2018 was dominated by coal (38</w:t>
      </w:r>
      <w:r w:rsidR="00F4295B">
        <w:t xml:space="preserve"> </w:t>
      </w:r>
      <w:r>
        <w:t>%) and natural gas (23</w:t>
      </w:r>
      <w:r w:rsidR="00F4295B">
        <w:t xml:space="preserve"> </w:t>
      </w:r>
      <w:r>
        <w:t>%), while in South Africa more than 90</w:t>
      </w:r>
      <w:r w:rsidR="00F4295B">
        <w:t xml:space="preserve"> </w:t>
      </w:r>
      <w:r>
        <w:t>% of electricity is produced from coal. South Africa</w:t>
      </w:r>
      <w:r w:rsidR="00B4288E">
        <w:t>’s</w:t>
      </w:r>
      <w:r>
        <w:t xml:space="preserve"> coal consumption was</w:t>
      </w:r>
      <w:r w:rsidR="00E438A6">
        <w:t xml:space="preserve"> </w:t>
      </w:r>
      <w:r>
        <w:t>the highest in the world (70.7</w:t>
      </w:r>
      <w:r w:rsidR="00F4295B">
        <w:t xml:space="preserve"> </w:t>
      </w:r>
      <w:r>
        <w:t>%), even higher than China (58.2</w:t>
      </w:r>
      <w:r w:rsidR="00F4295B">
        <w:t xml:space="preserve"> </w:t>
      </w:r>
      <w:r>
        <w:t>%) and India (55.9</w:t>
      </w:r>
      <w:r w:rsidR="00F4295B">
        <w:t xml:space="preserve"> </w:t>
      </w:r>
      <w:r>
        <w:t xml:space="preserve">%), </w:t>
      </w:r>
      <w:proofErr w:type="gramStart"/>
      <w:r>
        <w:t>both of them</w:t>
      </w:r>
      <w:proofErr w:type="gramEnd"/>
      <w:r>
        <w:t xml:space="preserve"> the biggest consumer of coal in volumes, while South Africa natural </w:t>
      </w:r>
      <w:r w:rsidR="00620FC3">
        <w:t xml:space="preserve">gas </w:t>
      </w:r>
      <w:r>
        <w:t>consumption is very low (3</w:t>
      </w:r>
      <w:r w:rsidR="00F4295B">
        <w:t xml:space="preserve"> </w:t>
      </w:r>
      <w:r>
        <w:t>%).</w:t>
      </w:r>
      <w:r w:rsidR="00E438A6">
        <w:t xml:space="preserve"> </w:t>
      </w:r>
      <w:r>
        <w:t xml:space="preserve">The South African government’s international climate change and carbon reduction commitments can be satisfied by increasing natural gas in the energy mix and reducing the coal </w:t>
      </w:r>
      <w:r w:rsidR="00A70400">
        <w:t xml:space="preserve">and oil </w:t>
      </w:r>
      <w:r>
        <w:t>consumption</w:t>
      </w:r>
      <w:r w:rsidR="00A70400">
        <w:t>s</w:t>
      </w:r>
      <w:r w:rsidR="00F52480">
        <w:t xml:space="preserve"> in the transition phase</w:t>
      </w:r>
      <w:r>
        <w:t>. The two sectors that natural gas can play a role in the energy mix are electricity production (</w:t>
      </w:r>
      <w:proofErr w:type="gramStart"/>
      <w:r>
        <w:t>i.e.</w:t>
      </w:r>
      <w:proofErr w:type="gramEnd"/>
      <w:r>
        <w:t xml:space="preserve"> gas to power) and transportation (i.e. </w:t>
      </w:r>
      <w:r w:rsidR="00A70400">
        <w:t xml:space="preserve">GTL, </w:t>
      </w:r>
      <w:r>
        <w:t>CNG and LNG).</w:t>
      </w:r>
      <w:r w:rsidR="00E438A6">
        <w:t xml:space="preserve"> </w:t>
      </w:r>
      <w:r>
        <w:t xml:space="preserve">This paper will discuss in </w:t>
      </w:r>
      <w:r w:rsidR="00D3264F">
        <w:t>detail</w:t>
      </w:r>
      <w:r>
        <w:t xml:space="preserve"> how South Africa can substitute coal and oil with natural gas, </w:t>
      </w:r>
      <w:r w:rsidR="00B4288E">
        <w:t>particularly,</w:t>
      </w:r>
      <w:r>
        <w:t xml:space="preserve"> electricity production and transportation</w:t>
      </w:r>
      <w:r w:rsidR="00763162">
        <w:t xml:space="preserve"> to satisfy</w:t>
      </w:r>
      <w:r w:rsidR="00EA2F05">
        <w:t xml:space="preserve"> decarbonisation. </w:t>
      </w:r>
      <w:r>
        <w:t xml:space="preserve"> </w:t>
      </w:r>
    </w:p>
    <w:bookmarkEnd w:id="0"/>
    <w:p w14:paraId="476B2F2E" w14:textId="77777777" w:rsidR="00600535" w:rsidRPr="00B57B36" w:rsidRDefault="00600535" w:rsidP="00600535">
      <w:pPr>
        <w:pStyle w:val="CETHeading1"/>
        <w:rPr>
          <w:lang w:val="en-GB"/>
        </w:rPr>
      </w:pPr>
      <w:r w:rsidRPr="00B57B36">
        <w:rPr>
          <w:lang w:val="en-GB"/>
        </w:rPr>
        <w:t>Introduction</w:t>
      </w:r>
    </w:p>
    <w:p w14:paraId="084C0D64" w14:textId="598FF177" w:rsidR="00883A20" w:rsidRPr="00FA5F5F" w:rsidRDefault="00EA2F05" w:rsidP="00600535">
      <w:pPr>
        <w:pStyle w:val="CETBodytext"/>
        <w:rPr>
          <w:lang w:val="en-GB"/>
        </w:rPr>
      </w:pPr>
      <w:r>
        <w:rPr>
          <w:lang w:val="en-GB"/>
        </w:rPr>
        <w:t xml:space="preserve">Natural gas, although a fossil fuel, was very recently considered </w:t>
      </w:r>
      <w:r w:rsidR="00B4288E">
        <w:rPr>
          <w:lang w:val="en-GB"/>
        </w:rPr>
        <w:t>a source</w:t>
      </w:r>
      <w:r>
        <w:rPr>
          <w:lang w:val="en-GB"/>
        </w:rPr>
        <w:t xml:space="preserve"> of green energy through gas fired power plant</w:t>
      </w:r>
      <w:r w:rsidR="00B4288E">
        <w:rPr>
          <w:lang w:val="en-GB"/>
        </w:rPr>
        <w:t>s</w:t>
      </w:r>
      <w:r w:rsidR="0044277F">
        <w:rPr>
          <w:lang w:val="en-GB"/>
        </w:rPr>
        <w:t xml:space="preserve"> by the European Commission </w:t>
      </w:r>
      <w:r w:rsidR="00B4288E">
        <w:rPr>
          <w:lang w:val="en-GB"/>
        </w:rPr>
        <w:t>in addition to</w:t>
      </w:r>
      <w:r w:rsidR="0044277F">
        <w:rPr>
          <w:lang w:val="en-GB"/>
        </w:rPr>
        <w:t xml:space="preserve"> nuclear.</w:t>
      </w:r>
      <w:r>
        <w:rPr>
          <w:lang w:val="en-GB"/>
        </w:rPr>
        <w:t xml:space="preserve"> </w:t>
      </w:r>
      <w:r w:rsidR="00680FB1">
        <w:rPr>
          <w:lang w:val="en-GB"/>
        </w:rPr>
        <w:t>According to the International Energy Agency, the burning of coal accounts for 45</w:t>
      </w:r>
      <w:r w:rsidR="00F23967">
        <w:rPr>
          <w:lang w:val="en-GB"/>
        </w:rPr>
        <w:t xml:space="preserve"> </w:t>
      </w:r>
      <w:r w:rsidR="00680FB1">
        <w:rPr>
          <w:lang w:val="en-GB"/>
        </w:rPr>
        <w:t>% of the world’s total carbon emissions from fuel combustion, ahead of oil (35</w:t>
      </w:r>
      <w:r w:rsidR="00F23967">
        <w:rPr>
          <w:lang w:val="en-GB"/>
        </w:rPr>
        <w:t xml:space="preserve"> </w:t>
      </w:r>
      <w:r w:rsidR="00680FB1">
        <w:rPr>
          <w:lang w:val="en-GB"/>
        </w:rPr>
        <w:t>%) and natural gas (20</w:t>
      </w:r>
      <w:r w:rsidR="00F23967">
        <w:rPr>
          <w:lang w:val="en-GB"/>
        </w:rPr>
        <w:t xml:space="preserve"> </w:t>
      </w:r>
      <w:r w:rsidR="00680FB1">
        <w:rPr>
          <w:lang w:val="en-GB"/>
        </w:rPr>
        <w:t>%) (</w:t>
      </w:r>
      <w:proofErr w:type="spellStart"/>
      <w:r w:rsidR="00680FB1">
        <w:rPr>
          <w:lang w:val="en-GB"/>
        </w:rPr>
        <w:t>Tordoir</w:t>
      </w:r>
      <w:proofErr w:type="spellEnd"/>
      <w:r w:rsidR="00680FB1">
        <w:rPr>
          <w:lang w:val="en-GB"/>
        </w:rPr>
        <w:t>, 2022).</w:t>
      </w:r>
      <w:r w:rsidR="00E438A6">
        <w:rPr>
          <w:lang w:val="en-GB"/>
        </w:rPr>
        <w:t xml:space="preserve"> </w:t>
      </w:r>
      <w:r w:rsidR="00B4044B">
        <w:rPr>
          <w:lang w:val="en-GB"/>
        </w:rPr>
        <w:t>In the Paris Agreement, many nations set ambitious global goals to stabilize and reduce carbon emissions to mitigate climate change</w:t>
      </w:r>
      <w:r w:rsidR="00883A20">
        <w:rPr>
          <w:lang w:val="en-GB"/>
        </w:rPr>
        <w:t xml:space="preserve">. A large share of these emissions is caused by electricity generation. </w:t>
      </w:r>
      <w:r w:rsidR="00951E2B">
        <w:rPr>
          <w:lang w:val="en-GB"/>
        </w:rPr>
        <w:t>Pressure to reduce coal use has been increasing worldwide. Germany and France have decided to phase-out coal, while China is investing heavily in renewable sources to reach carbon neutrality by 2060 (</w:t>
      </w:r>
      <w:proofErr w:type="spellStart"/>
      <w:r w:rsidR="00951E2B">
        <w:rPr>
          <w:lang w:val="en-GB"/>
        </w:rPr>
        <w:t>Tordoir</w:t>
      </w:r>
      <w:proofErr w:type="spellEnd"/>
      <w:r w:rsidR="00951E2B">
        <w:rPr>
          <w:lang w:val="en-GB"/>
        </w:rPr>
        <w:t xml:space="preserve">, 2022). </w:t>
      </w:r>
      <w:r w:rsidR="008A2D08">
        <w:rPr>
          <w:lang w:val="en-GB"/>
        </w:rPr>
        <w:t>According to International Energy Agency coal-to-gas switching reduces emissions by 50</w:t>
      </w:r>
      <w:r w:rsidR="00F44227">
        <w:rPr>
          <w:lang w:val="en-GB"/>
        </w:rPr>
        <w:t xml:space="preserve"> </w:t>
      </w:r>
      <w:r w:rsidR="008A2D08">
        <w:rPr>
          <w:lang w:val="en-GB"/>
        </w:rPr>
        <w:t>% when producing electricity and by 33</w:t>
      </w:r>
      <w:r w:rsidR="00F44227">
        <w:rPr>
          <w:lang w:val="en-GB"/>
        </w:rPr>
        <w:t xml:space="preserve"> </w:t>
      </w:r>
      <w:r w:rsidR="008A2D08">
        <w:rPr>
          <w:lang w:val="en-GB"/>
        </w:rPr>
        <w:t>% when providing heat</w:t>
      </w:r>
      <w:r w:rsidR="00F20926">
        <w:rPr>
          <w:lang w:val="en-GB"/>
        </w:rPr>
        <w:t xml:space="preserve"> (IEA, 2019)</w:t>
      </w:r>
      <w:r w:rsidR="008A2D08">
        <w:rPr>
          <w:lang w:val="en-GB"/>
        </w:rPr>
        <w:t xml:space="preserve">. </w:t>
      </w:r>
      <w:r w:rsidR="00951E2B">
        <w:rPr>
          <w:lang w:val="en-GB"/>
        </w:rPr>
        <w:t>The global reduction of power sector CO</w:t>
      </w:r>
      <w:r w:rsidR="00951E2B" w:rsidRPr="00AB4117">
        <w:rPr>
          <w:vertAlign w:val="subscript"/>
          <w:lang w:val="en-GB"/>
        </w:rPr>
        <w:t>2</w:t>
      </w:r>
      <w:r w:rsidR="00951E2B">
        <w:rPr>
          <w:lang w:val="en-GB"/>
        </w:rPr>
        <w:t xml:space="preserve"> emissions in 2019</w:t>
      </w:r>
      <w:r w:rsidR="00AB4117">
        <w:rPr>
          <w:lang w:val="en-GB"/>
        </w:rPr>
        <w:t xml:space="preserve"> was driven by shifting from coal to natural gas (</w:t>
      </w:r>
      <w:proofErr w:type="spellStart"/>
      <w:r w:rsidR="00AB4117">
        <w:rPr>
          <w:lang w:val="en-GB"/>
        </w:rPr>
        <w:t>Tordoir</w:t>
      </w:r>
      <w:proofErr w:type="spellEnd"/>
      <w:r w:rsidR="00AB4117">
        <w:rPr>
          <w:lang w:val="en-GB"/>
        </w:rPr>
        <w:t xml:space="preserve">, 2022). </w:t>
      </w:r>
      <w:r w:rsidR="00883A20">
        <w:rPr>
          <w:lang w:val="en-GB"/>
        </w:rPr>
        <w:t xml:space="preserve">Natural gas might help the energy transition by reducing emissions compared to coal. However </w:t>
      </w:r>
      <w:r w:rsidR="00B4288E">
        <w:rPr>
          <w:lang w:val="en-GB"/>
        </w:rPr>
        <w:t>long-term</w:t>
      </w:r>
      <w:r w:rsidR="00883A20">
        <w:rPr>
          <w:lang w:val="en-GB"/>
        </w:rPr>
        <w:t xml:space="preserve"> implications of investing in natural gas might crowd out investments </w:t>
      </w:r>
      <w:r w:rsidR="00130D55">
        <w:rPr>
          <w:lang w:val="en-GB"/>
        </w:rPr>
        <w:t>in renewable alternatives (</w:t>
      </w:r>
      <w:proofErr w:type="spellStart"/>
      <w:r w:rsidR="00130D55">
        <w:rPr>
          <w:lang w:val="en-GB"/>
        </w:rPr>
        <w:t>Gursan</w:t>
      </w:r>
      <w:proofErr w:type="spellEnd"/>
      <w:r w:rsidR="00130D55">
        <w:rPr>
          <w:lang w:val="en-GB"/>
        </w:rPr>
        <w:t xml:space="preserve"> and de </w:t>
      </w:r>
      <w:proofErr w:type="spellStart"/>
      <w:r w:rsidR="00130D55">
        <w:rPr>
          <w:lang w:val="en-GB"/>
        </w:rPr>
        <w:t>Gooyert</w:t>
      </w:r>
      <w:proofErr w:type="spellEnd"/>
      <w:r w:rsidR="00130D55">
        <w:rPr>
          <w:lang w:val="en-GB"/>
        </w:rPr>
        <w:t xml:space="preserve">, 2021). </w:t>
      </w:r>
    </w:p>
    <w:p w14:paraId="09406386" w14:textId="45F11E8C" w:rsidR="00453E24" w:rsidRDefault="00BE664C" w:rsidP="00BE664C">
      <w:pPr>
        <w:pStyle w:val="CETBodytext"/>
      </w:pPr>
      <w:r>
        <w:t xml:space="preserve">The world natural gas reserves increased from 130.8 </w:t>
      </w:r>
      <w:r w:rsidR="00F44227">
        <w:rPr>
          <w:rFonts w:cs="Arial"/>
        </w:rPr>
        <w:t>×</w:t>
      </w:r>
      <w:r w:rsidR="00F44227">
        <w:t xml:space="preserve"> 10</w:t>
      </w:r>
      <w:r w:rsidR="00F44227">
        <w:rPr>
          <w:vertAlign w:val="superscript"/>
        </w:rPr>
        <w:t>12</w:t>
      </w:r>
      <w:r w:rsidR="00F44227">
        <w:t xml:space="preserve"> m</w:t>
      </w:r>
      <w:r w:rsidR="00F44227">
        <w:rPr>
          <w:vertAlign w:val="superscript"/>
        </w:rPr>
        <w:t>3</w:t>
      </w:r>
      <w:r>
        <w:t xml:space="preserve"> in 1998, to 170.2 </w:t>
      </w:r>
      <w:r w:rsidR="00F44227">
        <w:rPr>
          <w:rFonts w:cs="Arial"/>
        </w:rPr>
        <w:t>×</w:t>
      </w:r>
      <w:r w:rsidR="00F44227">
        <w:t xml:space="preserve"> 10</w:t>
      </w:r>
      <w:r w:rsidR="00F44227">
        <w:rPr>
          <w:vertAlign w:val="superscript"/>
        </w:rPr>
        <w:t>12</w:t>
      </w:r>
      <w:r w:rsidR="00F44227">
        <w:t xml:space="preserve"> m</w:t>
      </w:r>
      <w:r w:rsidR="00F44227">
        <w:rPr>
          <w:vertAlign w:val="superscript"/>
        </w:rPr>
        <w:t>3</w:t>
      </w:r>
      <w:r>
        <w:t xml:space="preserve"> in 2008, to 196.9 </w:t>
      </w:r>
      <w:r w:rsidR="00F44227">
        <w:rPr>
          <w:rFonts w:cs="Arial"/>
        </w:rPr>
        <w:t>×</w:t>
      </w:r>
      <w:r w:rsidR="00F44227">
        <w:t xml:space="preserve"> 10</w:t>
      </w:r>
      <w:r w:rsidR="00F44227">
        <w:rPr>
          <w:vertAlign w:val="superscript"/>
        </w:rPr>
        <w:t>12</w:t>
      </w:r>
      <w:r w:rsidR="00F44227">
        <w:t xml:space="preserve"> m</w:t>
      </w:r>
      <w:r w:rsidR="00F44227">
        <w:rPr>
          <w:vertAlign w:val="superscript"/>
        </w:rPr>
        <w:t>3</w:t>
      </w:r>
      <w:r>
        <w:t xml:space="preserve"> in 2018</w:t>
      </w:r>
      <w:r w:rsidR="00441983">
        <w:t xml:space="preserve"> (BP. 2019)</w:t>
      </w:r>
      <w:r>
        <w:t>. The world gas reserves will keep increasing for both conventional and non-conventional gas (</w:t>
      </w:r>
      <w:proofErr w:type="gramStart"/>
      <w:r>
        <w:t>i.e.</w:t>
      </w:r>
      <w:proofErr w:type="gramEnd"/>
      <w:r>
        <w:t xml:space="preserve"> shale gas).</w:t>
      </w:r>
      <w:r w:rsidR="004040D7">
        <w:t xml:space="preserve"> Russia was the first in the world </w:t>
      </w:r>
      <w:r w:rsidR="004040D7" w:rsidRPr="00257F9F">
        <w:rPr>
          <w:i/>
          <w:iCs/>
        </w:rPr>
        <w:t>vis a vis</w:t>
      </w:r>
      <w:r w:rsidR="004040D7">
        <w:t xml:space="preserve"> reserves in 2018, with 38.9 </w:t>
      </w:r>
      <w:r w:rsidR="00F44227">
        <w:rPr>
          <w:rFonts w:cs="Arial"/>
        </w:rPr>
        <w:t>×</w:t>
      </w:r>
      <w:r w:rsidR="00F44227">
        <w:t xml:space="preserve"> 10</w:t>
      </w:r>
      <w:r w:rsidR="00F44227">
        <w:rPr>
          <w:vertAlign w:val="superscript"/>
        </w:rPr>
        <w:t>12</w:t>
      </w:r>
      <w:r w:rsidR="00F44227">
        <w:t xml:space="preserve"> m</w:t>
      </w:r>
      <w:r w:rsidR="00F44227">
        <w:rPr>
          <w:vertAlign w:val="superscript"/>
        </w:rPr>
        <w:t>3</w:t>
      </w:r>
      <w:r w:rsidR="004040D7">
        <w:t xml:space="preserve">, followed by Iran with 31.9 </w:t>
      </w:r>
      <w:r w:rsidR="00F44227">
        <w:rPr>
          <w:rFonts w:cs="Arial"/>
        </w:rPr>
        <w:t>×</w:t>
      </w:r>
      <w:r w:rsidR="00F44227">
        <w:t xml:space="preserve"> 10</w:t>
      </w:r>
      <w:r w:rsidR="00F44227">
        <w:rPr>
          <w:vertAlign w:val="superscript"/>
        </w:rPr>
        <w:t>12</w:t>
      </w:r>
      <w:r w:rsidR="00F44227">
        <w:t xml:space="preserve"> m</w:t>
      </w:r>
      <w:r w:rsidR="00F44227">
        <w:rPr>
          <w:vertAlign w:val="superscript"/>
        </w:rPr>
        <w:t>3</w:t>
      </w:r>
      <w:r w:rsidR="004040D7">
        <w:t>. The third in the world</w:t>
      </w:r>
      <w:r w:rsidR="00074CF9">
        <w:t xml:space="preserve"> was Qatar with 24.7 </w:t>
      </w:r>
      <w:r w:rsidR="00F44227">
        <w:rPr>
          <w:rFonts w:cs="Arial"/>
        </w:rPr>
        <w:t>×</w:t>
      </w:r>
      <w:r w:rsidR="00F44227">
        <w:t xml:space="preserve"> 10</w:t>
      </w:r>
      <w:r w:rsidR="00F44227">
        <w:rPr>
          <w:vertAlign w:val="superscript"/>
        </w:rPr>
        <w:t>12</w:t>
      </w:r>
      <w:r w:rsidR="00F44227">
        <w:t xml:space="preserve"> m</w:t>
      </w:r>
      <w:r w:rsidR="00F44227">
        <w:rPr>
          <w:vertAlign w:val="superscript"/>
        </w:rPr>
        <w:t>3</w:t>
      </w:r>
      <w:r w:rsidR="00074CF9">
        <w:t>, followed by Turkmenistan, USA, Venezuela, China, United Arab Emirate and Saudi Arabia. Nigeria was the first in Africa (10</w:t>
      </w:r>
      <w:r w:rsidR="00074CF9" w:rsidRPr="00074CF9">
        <w:rPr>
          <w:vertAlign w:val="superscript"/>
        </w:rPr>
        <w:t>th</w:t>
      </w:r>
      <w:r w:rsidR="00074CF9">
        <w:t xml:space="preserve"> in the world) with 5.3 </w:t>
      </w:r>
      <w:r w:rsidR="00F44227">
        <w:rPr>
          <w:rFonts w:cs="Arial"/>
        </w:rPr>
        <w:t>×</w:t>
      </w:r>
      <w:r w:rsidR="00F44227">
        <w:t xml:space="preserve"> 10</w:t>
      </w:r>
      <w:r w:rsidR="00F44227">
        <w:rPr>
          <w:vertAlign w:val="superscript"/>
        </w:rPr>
        <w:t>12</w:t>
      </w:r>
      <w:r w:rsidR="00F44227">
        <w:t xml:space="preserve"> m</w:t>
      </w:r>
      <w:r w:rsidR="00F44227">
        <w:rPr>
          <w:vertAlign w:val="superscript"/>
        </w:rPr>
        <w:t>3</w:t>
      </w:r>
      <w:r w:rsidR="00074CF9">
        <w:t xml:space="preserve">, </w:t>
      </w:r>
      <w:r w:rsidR="00D36688">
        <w:t>followed by Algeria (11</w:t>
      </w:r>
      <w:r w:rsidR="00D36688" w:rsidRPr="00D36688">
        <w:rPr>
          <w:vertAlign w:val="superscript"/>
        </w:rPr>
        <w:t>th</w:t>
      </w:r>
      <w:r w:rsidR="00D36688">
        <w:t xml:space="preserve"> in the world) with 4.3 </w:t>
      </w:r>
      <w:r w:rsidR="00F44227">
        <w:rPr>
          <w:rFonts w:cs="Arial"/>
        </w:rPr>
        <w:t>×</w:t>
      </w:r>
      <w:r w:rsidR="00F44227">
        <w:t xml:space="preserve"> 10</w:t>
      </w:r>
      <w:r w:rsidR="00F44227">
        <w:rPr>
          <w:vertAlign w:val="superscript"/>
        </w:rPr>
        <w:t>12</w:t>
      </w:r>
      <w:r w:rsidR="00F44227">
        <w:t xml:space="preserve"> m</w:t>
      </w:r>
      <w:r w:rsidR="00F44227">
        <w:rPr>
          <w:vertAlign w:val="superscript"/>
        </w:rPr>
        <w:t>3</w:t>
      </w:r>
      <w:r w:rsidR="00D36688">
        <w:t>. Egypt was the 3</w:t>
      </w:r>
      <w:r w:rsidR="00D36688" w:rsidRPr="00D36688">
        <w:rPr>
          <w:vertAlign w:val="superscript"/>
        </w:rPr>
        <w:t>rd</w:t>
      </w:r>
      <w:r w:rsidR="00D36688">
        <w:t xml:space="preserve"> in Africa (16</w:t>
      </w:r>
      <w:r w:rsidR="00D36688" w:rsidRPr="00D36688">
        <w:rPr>
          <w:vertAlign w:val="superscript"/>
        </w:rPr>
        <w:t>th</w:t>
      </w:r>
      <w:r w:rsidR="00D36688">
        <w:t xml:space="preserve"> in the world) with 2.1 </w:t>
      </w:r>
      <w:r w:rsidR="00F44227">
        <w:rPr>
          <w:rFonts w:cs="Arial"/>
        </w:rPr>
        <w:t>×</w:t>
      </w:r>
      <w:r w:rsidR="00F44227">
        <w:t xml:space="preserve"> 10</w:t>
      </w:r>
      <w:r w:rsidR="00F44227">
        <w:rPr>
          <w:vertAlign w:val="superscript"/>
        </w:rPr>
        <w:t>12</w:t>
      </w:r>
      <w:r w:rsidR="00F44227">
        <w:t xml:space="preserve"> m</w:t>
      </w:r>
      <w:r w:rsidR="00F44227">
        <w:rPr>
          <w:vertAlign w:val="superscript"/>
        </w:rPr>
        <w:t>3</w:t>
      </w:r>
      <w:r w:rsidR="00D36688">
        <w:t>, and Libya was the 4</w:t>
      </w:r>
      <w:r w:rsidR="00D36688" w:rsidRPr="00D36688">
        <w:rPr>
          <w:vertAlign w:val="superscript"/>
        </w:rPr>
        <w:t>th</w:t>
      </w:r>
      <w:r w:rsidR="00D36688">
        <w:t xml:space="preserve"> in Africa (21</w:t>
      </w:r>
      <w:r w:rsidR="00D36688" w:rsidRPr="00D36688">
        <w:rPr>
          <w:vertAlign w:val="superscript"/>
        </w:rPr>
        <w:t>st</w:t>
      </w:r>
      <w:r w:rsidR="00D36688">
        <w:t xml:space="preserve"> in the world) with 1.4 </w:t>
      </w:r>
      <w:r w:rsidR="00F44227">
        <w:rPr>
          <w:rFonts w:cs="Arial"/>
        </w:rPr>
        <w:t>×</w:t>
      </w:r>
      <w:r w:rsidR="00F44227">
        <w:t xml:space="preserve"> 10</w:t>
      </w:r>
      <w:r w:rsidR="00F44227">
        <w:rPr>
          <w:vertAlign w:val="superscript"/>
        </w:rPr>
        <w:t>12</w:t>
      </w:r>
      <w:r w:rsidR="00F44227">
        <w:t xml:space="preserve"> m</w:t>
      </w:r>
      <w:r w:rsidR="00F44227">
        <w:rPr>
          <w:vertAlign w:val="superscript"/>
        </w:rPr>
        <w:t>3</w:t>
      </w:r>
      <w:r w:rsidR="00D36688">
        <w:t xml:space="preserve">. </w:t>
      </w:r>
      <w:r w:rsidR="00257F9F">
        <w:t xml:space="preserve">USA was the biggest consumer of natural gas with 817.1 </w:t>
      </w:r>
      <w:r w:rsidR="00F44227">
        <w:rPr>
          <w:rFonts w:cs="Arial"/>
        </w:rPr>
        <w:t>×</w:t>
      </w:r>
      <w:r w:rsidR="00F44227">
        <w:t xml:space="preserve"> 10</w:t>
      </w:r>
      <w:r w:rsidR="00F44227">
        <w:rPr>
          <w:vertAlign w:val="superscript"/>
        </w:rPr>
        <w:t>9</w:t>
      </w:r>
      <w:r w:rsidR="00F44227">
        <w:t xml:space="preserve"> m</w:t>
      </w:r>
      <w:r w:rsidR="00F44227">
        <w:rPr>
          <w:vertAlign w:val="superscript"/>
        </w:rPr>
        <w:t xml:space="preserve">3 </w:t>
      </w:r>
      <w:r w:rsidR="00257F9F">
        <w:t>in 2018, followed by Russia, China, Iran, Japan, Canada, Saudi Arabia, Mexico, Germany and the UK (</w:t>
      </w:r>
      <w:proofErr w:type="gramStart"/>
      <w:r w:rsidR="00257F9F">
        <w:t>i.e.</w:t>
      </w:r>
      <w:proofErr w:type="gramEnd"/>
      <w:r w:rsidR="00257F9F">
        <w:t xml:space="preserve"> 78.9 </w:t>
      </w:r>
      <w:r w:rsidR="00A63D6F">
        <w:rPr>
          <w:rFonts w:cs="Arial"/>
        </w:rPr>
        <w:t>×</w:t>
      </w:r>
      <w:r w:rsidR="00A63D6F">
        <w:t xml:space="preserve"> 10</w:t>
      </w:r>
      <w:r w:rsidR="00A63D6F">
        <w:rPr>
          <w:vertAlign w:val="superscript"/>
        </w:rPr>
        <w:t>9</w:t>
      </w:r>
      <w:r w:rsidR="00A63D6F">
        <w:t xml:space="preserve"> m</w:t>
      </w:r>
      <w:r w:rsidR="00A63D6F">
        <w:rPr>
          <w:vertAlign w:val="superscript"/>
        </w:rPr>
        <w:t>3</w:t>
      </w:r>
      <w:r w:rsidR="00257F9F">
        <w:t xml:space="preserve">). South Africa consumed 4.3 </w:t>
      </w:r>
      <w:r w:rsidR="00A63D6F">
        <w:rPr>
          <w:rFonts w:cs="Arial"/>
        </w:rPr>
        <w:t>×</w:t>
      </w:r>
      <w:r w:rsidR="00A63D6F">
        <w:t xml:space="preserve"> 10</w:t>
      </w:r>
      <w:r w:rsidR="00A63D6F">
        <w:rPr>
          <w:vertAlign w:val="superscript"/>
        </w:rPr>
        <w:t>9</w:t>
      </w:r>
      <w:r w:rsidR="00A63D6F">
        <w:t xml:space="preserve"> m</w:t>
      </w:r>
      <w:r w:rsidR="00A63D6F">
        <w:rPr>
          <w:vertAlign w:val="superscript"/>
        </w:rPr>
        <w:t>3</w:t>
      </w:r>
      <w:r w:rsidR="00F10F11">
        <w:t xml:space="preserve"> in 2018, which is very low (BP, 2019).</w:t>
      </w:r>
    </w:p>
    <w:p w14:paraId="677EBFF0" w14:textId="449D67B8" w:rsidR="00600535" w:rsidRDefault="00891756" w:rsidP="00600535">
      <w:pPr>
        <w:pStyle w:val="CETHeading1"/>
        <w:tabs>
          <w:tab w:val="right" w:pos="7100"/>
        </w:tabs>
        <w:jc w:val="both"/>
        <w:rPr>
          <w:lang w:val="en-GB"/>
        </w:rPr>
      </w:pPr>
      <w:r>
        <w:rPr>
          <w:lang w:val="en-GB"/>
        </w:rPr>
        <w:lastRenderedPageBreak/>
        <w:t>South Africa energy mix</w:t>
      </w:r>
    </w:p>
    <w:p w14:paraId="75B1C11E" w14:textId="04865B90" w:rsidR="00573EA5" w:rsidRDefault="00E40B31" w:rsidP="00574DA0">
      <w:pPr>
        <w:pStyle w:val="CETBodytext"/>
        <w:rPr>
          <w:lang w:val="en-GB"/>
        </w:rPr>
      </w:pPr>
      <w:r>
        <w:rPr>
          <w:lang w:val="en-GB"/>
        </w:rPr>
        <w:t xml:space="preserve">The energy mix of selected countries, including the BRICS countries, are summarized in Table 1. The South African energy consumption in 2018 was 121.6 </w:t>
      </w:r>
      <w:r w:rsidR="00C950AC">
        <w:rPr>
          <w:rFonts w:cs="Arial"/>
        </w:rPr>
        <w:t>×</w:t>
      </w:r>
      <w:r w:rsidR="00C950AC">
        <w:t xml:space="preserve"> 10</w:t>
      </w:r>
      <w:r w:rsidR="00C950AC">
        <w:rPr>
          <w:vertAlign w:val="superscript"/>
        </w:rPr>
        <w:t>6</w:t>
      </w:r>
      <w:r w:rsidR="00C950AC">
        <w:t xml:space="preserve"> t</w:t>
      </w:r>
      <w:r w:rsidR="00C950AC">
        <w:rPr>
          <w:lang w:val="en-GB"/>
        </w:rPr>
        <w:t xml:space="preserve"> </w:t>
      </w:r>
      <w:r>
        <w:rPr>
          <w:lang w:val="en-GB"/>
        </w:rPr>
        <w:t>oil equivalent</w:t>
      </w:r>
      <w:r w:rsidR="00D43D66">
        <w:rPr>
          <w:lang w:val="en-GB"/>
        </w:rPr>
        <w:t xml:space="preserve">. The coal contribution </w:t>
      </w:r>
      <w:r w:rsidR="006B54A6">
        <w:rPr>
          <w:lang w:val="en-GB"/>
        </w:rPr>
        <w:t>to the South African energy mix was 70.7 %, followed by oil (21.6</w:t>
      </w:r>
      <w:r w:rsidR="00C70B7A">
        <w:rPr>
          <w:lang w:val="en-GB"/>
        </w:rPr>
        <w:t xml:space="preserve"> </w:t>
      </w:r>
      <w:r w:rsidR="006B54A6">
        <w:rPr>
          <w:lang w:val="en-GB"/>
        </w:rPr>
        <w:t>%)</w:t>
      </w:r>
      <w:r w:rsidR="003C2D88">
        <w:rPr>
          <w:lang w:val="en-GB"/>
        </w:rPr>
        <w:t>. Natural gas, renewable and nuclear contributed by 3.1</w:t>
      </w:r>
      <w:r w:rsidR="00C70B7A">
        <w:rPr>
          <w:lang w:val="en-GB"/>
        </w:rPr>
        <w:t xml:space="preserve"> </w:t>
      </w:r>
      <w:r w:rsidR="003C2D88">
        <w:rPr>
          <w:lang w:val="en-GB"/>
        </w:rPr>
        <w:t>%, 2.3</w:t>
      </w:r>
      <w:r w:rsidR="00C70B7A">
        <w:rPr>
          <w:lang w:val="en-GB"/>
        </w:rPr>
        <w:t xml:space="preserve"> </w:t>
      </w:r>
      <w:r w:rsidR="003C2D88">
        <w:rPr>
          <w:lang w:val="en-GB"/>
        </w:rPr>
        <w:t>% and 2.1</w:t>
      </w:r>
      <w:r w:rsidR="00C70B7A">
        <w:rPr>
          <w:lang w:val="en-GB"/>
        </w:rPr>
        <w:t xml:space="preserve"> </w:t>
      </w:r>
      <w:r w:rsidR="003C2D88">
        <w:rPr>
          <w:lang w:val="en-GB"/>
        </w:rPr>
        <w:t>% respectively. The South African coal consumption is the highest in the world (70.7</w:t>
      </w:r>
      <w:r w:rsidR="00C70B7A">
        <w:rPr>
          <w:lang w:val="en-GB"/>
        </w:rPr>
        <w:t xml:space="preserve"> </w:t>
      </w:r>
      <w:r w:rsidR="003C2D88">
        <w:rPr>
          <w:lang w:val="en-GB"/>
        </w:rPr>
        <w:t xml:space="preserve">%), even higher than </w:t>
      </w:r>
      <w:r w:rsidR="00573EA5">
        <w:rPr>
          <w:lang w:val="en-GB"/>
        </w:rPr>
        <w:t>China (58.2</w:t>
      </w:r>
      <w:r w:rsidR="00C70B7A">
        <w:rPr>
          <w:lang w:val="en-GB"/>
        </w:rPr>
        <w:t xml:space="preserve"> </w:t>
      </w:r>
      <w:r w:rsidR="00573EA5">
        <w:rPr>
          <w:lang w:val="en-GB"/>
        </w:rPr>
        <w:t>%) and India (55.9</w:t>
      </w:r>
      <w:r w:rsidR="00C70B7A">
        <w:rPr>
          <w:lang w:val="en-GB"/>
        </w:rPr>
        <w:t xml:space="preserve"> </w:t>
      </w:r>
      <w:r w:rsidR="00573EA5">
        <w:rPr>
          <w:lang w:val="en-GB"/>
        </w:rPr>
        <w:t>%). China and India are the biggest consumer of coal in volumes.</w:t>
      </w:r>
      <w:r w:rsidR="001D4620">
        <w:rPr>
          <w:lang w:val="en-GB"/>
        </w:rPr>
        <w:t xml:space="preserve"> </w:t>
      </w:r>
      <w:r w:rsidR="00573EA5">
        <w:rPr>
          <w:lang w:val="en-GB"/>
        </w:rPr>
        <w:t>South Africa</w:t>
      </w:r>
      <w:r w:rsidR="005D31C3">
        <w:rPr>
          <w:lang w:val="en-GB"/>
        </w:rPr>
        <w:t>n</w:t>
      </w:r>
      <w:r w:rsidR="00573EA5">
        <w:rPr>
          <w:lang w:val="en-GB"/>
        </w:rPr>
        <w:t xml:space="preserve"> natural gas consumption is one of the lowest in the world, covering only 3.1</w:t>
      </w:r>
      <w:r w:rsidR="00C70B7A">
        <w:rPr>
          <w:lang w:val="en-GB"/>
        </w:rPr>
        <w:t xml:space="preserve"> </w:t>
      </w:r>
      <w:r w:rsidR="00573EA5">
        <w:rPr>
          <w:lang w:val="en-GB"/>
        </w:rPr>
        <w:t>%.</w:t>
      </w:r>
      <w:r w:rsidR="00724111">
        <w:rPr>
          <w:lang w:val="en-GB"/>
        </w:rPr>
        <w:t xml:space="preserve"> </w:t>
      </w:r>
    </w:p>
    <w:p w14:paraId="7FE0D7DE" w14:textId="576D6AD9" w:rsidR="00305E2D" w:rsidRPr="00B57B36" w:rsidRDefault="00305E2D" w:rsidP="00305E2D">
      <w:pPr>
        <w:pStyle w:val="CETTabletitle"/>
      </w:pPr>
      <w:bookmarkStart w:id="2" w:name="_Hlk101301325"/>
      <w:r w:rsidRPr="00B57B36">
        <w:t xml:space="preserve">Table 1: </w:t>
      </w:r>
      <w:r>
        <w:t>Energy consumption by country in 2018 (</w:t>
      </w:r>
      <w:r w:rsidR="004E10AA">
        <w:t>10</w:t>
      </w:r>
      <w:r w:rsidR="004E10AA">
        <w:rPr>
          <w:vertAlign w:val="superscript"/>
        </w:rPr>
        <w:t>6</w:t>
      </w:r>
      <w:r w:rsidR="004E10AA">
        <w:t xml:space="preserve"> t </w:t>
      </w:r>
      <w:r>
        <w:t>oil equivalent</w:t>
      </w:r>
      <w:r w:rsidR="00654064">
        <w:t>)</w:t>
      </w:r>
      <w:r>
        <w:t xml:space="preserve"> (BP, 2019)</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30"/>
        <w:gridCol w:w="976"/>
        <w:gridCol w:w="920"/>
        <w:gridCol w:w="877"/>
        <w:gridCol w:w="822"/>
        <w:gridCol w:w="819"/>
        <w:gridCol w:w="901"/>
        <w:gridCol w:w="810"/>
        <w:gridCol w:w="822"/>
        <w:gridCol w:w="810"/>
      </w:tblGrid>
      <w:tr w:rsidR="00587F2A" w:rsidRPr="00B57B36" w14:paraId="6D74E06A" w14:textId="70DB666E" w:rsidTr="00587F2A">
        <w:tc>
          <w:tcPr>
            <w:tcW w:w="1036" w:type="dxa"/>
            <w:tcBorders>
              <w:top w:val="single" w:sz="12" w:space="0" w:color="008000"/>
              <w:bottom w:val="single" w:sz="6" w:space="0" w:color="008000"/>
            </w:tcBorders>
            <w:shd w:val="clear" w:color="auto" w:fill="FFFFFF"/>
          </w:tcPr>
          <w:p w14:paraId="6FC64D44" w14:textId="01BBD102" w:rsidR="00587F2A" w:rsidRPr="00B57B36" w:rsidRDefault="00587F2A" w:rsidP="00F13489">
            <w:pPr>
              <w:pStyle w:val="CETBodytext"/>
              <w:rPr>
                <w:lang w:val="en-GB"/>
              </w:rPr>
            </w:pPr>
            <w:r>
              <w:rPr>
                <w:lang w:val="en-GB"/>
              </w:rPr>
              <w:t>Country</w:t>
            </w:r>
            <w:r w:rsidRPr="00B57B36">
              <w:rPr>
                <w:lang w:val="en-GB"/>
              </w:rPr>
              <w:t xml:space="preserve"> </w:t>
            </w:r>
          </w:p>
        </w:tc>
        <w:tc>
          <w:tcPr>
            <w:tcW w:w="984" w:type="dxa"/>
            <w:tcBorders>
              <w:top w:val="single" w:sz="12" w:space="0" w:color="008000"/>
              <w:bottom w:val="single" w:sz="6" w:space="0" w:color="008000"/>
            </w:tcBorders>
            <w:shd w:val="clear" w:color="auto" w:fill="FFFFFF"/>
          </w:tcPr>
          <w:p w14:paraId="258F2004" w14:textId="756980F1" w:rsidR="00587F2A" w:rsidRPr="00B57B36" w:rsidRDefault="00587F2A" w:rsidP="00F13489">
            <w:pPr>
              <w:pStyle w:val="CETBodytext"/>
              <w:rPr>
                <w:lang w:val="en-GB"/>
              </w:rPr>
            </w:pPr>
            <w:r>
              <w:rPr>
                <w:lang w:val="en-GB"/>
              </w:rPr>
              <w:t>Natural Gas</w:t>
            </w:r>
          </w:p>
        </w:tc>
        <w:tc>
          <w:tcPr>
            <w:tcW w:w="926" w:type="dxa"/>
            <w:tcBorders>
              <w:top w:val="single" w:sz="12" w:space="0" w:color="008000"/>
              <w:bottom w:val="single" w:sz="6" w:space="0" w:color="008000"/>
            </w:tcBorders>
            <w:shd w:val="clear" w:color="auto" w:fill="FFFFFF"/>
          </w:tcPr>
          <w:p w14:paraId="7ECC0C18" w14:textId="04E21806" w:rsidR="00587F2A" w:rsidRPr="00B57B36" w:rsidRDefault="00587F2A" w:rsidP="00F13489">
            <w:pPr>
              <w:pStyle w:val="CETBodytext"/>
              <w:rPr>
                <w:lang w:val="en-GB"/>
              </w:rPr>
            </w:pPr>
            <w:r>
              <w:rPr>
                <w:lang w:val="en-GB"/>
              </w:rPr>
              <w:t xml:space="preserve">     Coal</w:t>
            </w:r>
          </w:p>
        </w:tc>
        <w:tc>
          <w:tcPr>
            <w:tcW w:w="885" w:type="dxa"/>
            <w:tcBorders>
              <w:top w:val="single" w:sz="12" w:space="0" w:color="008000"/>
              <w:bottom w:val="single" w:sz="6" w:space="0" w:color="008000"/>
            </w:tcBorders>
            <w:shd w:val="clear" w:color="auto" w:fill="FFFFFF"/>
          </w:tcPr>
          <w:p w14:paraId="74F90255" w14:textId="4E2F53C0" w:rsidR="00587F2A" w:rsidRPr="00B57B36" w:rsidRDefault="00587F2A" w:rsidP="00F13489">
            <w:pPr>
              <w:pStyle w:val="CETBodytext"/>
              <w:ind w:right="-1"/>
              <w:rPr>
                <w:rFonts w:cs="Arial"/>
                <w:szCs w:val="18"/>
                <w:lang w:val="en-GB"/>
              </w:rPr>
            </w:pPr>
            <w:r>
              <w:rPr>
                <w:rFonts w:cs="Arial"/>
                <w:szCs w:val="18"/>
                <w:lang w:val="en-GB"/>
              </w:rPr>
              <w:t>Oil</w:t>
            </w:r>
          </w:p>
        </w:tc>
        <w:tc>
          <w:tcPr>
            <w:tcW w:w="826" w:type="dxa"/>
            <w:tcBorders>
              <w:top w:val="single" w:sz="12" w:space="0" w:color="008000"/>
              <w:bottom w:val="single" w:sz="6" w:space="0" w:color="008000"/>
            </w:tcBorders>
            <w:shd w:val="clear" w:color="auto" w:fill="FFFFFF"/>
          </w:tcPr>
          <w:p w14:paraId="0FDB5C69" w14:textId="070B71C0" w:rsidR="00587F2A" w:rsidRPr="00B57B36" w:rsidRDefault="00587F2A" w:rsidP="00F13489">
            <w:pPr>
              <w:pStyle w:val="CETBodytext"/>
              <w:ind w:right="-1"/>
              <w:rPr>
                <w:rFonts w:cs="Arial"/>
                <w:szCs w:val="18"/>
                <w:lang w:val="en-GB"/>
              </w:rPr>
            </w:pPr>
            <w:r>
              <w:rPr>
                <w:rFonts w:cs="Arial"/>
                <w:szCs w:val="18"/>
                <w:lang w:val="en-GB"/>
              </w:rPr>
              <w:t>Nuclear</w:t>
            </w:r>
          </w:p>
        </w:tc>
        <w:tc>
          <w:tcPr>
            <w:tcW w:w="826" w:type="dxa"/>
            <w:tcBorders>
              <w:top w:val="single" w:sz="12" w:space="0" w:color="008000"/>
              <w:bottom w:val="single" w:sz="6" w:space="0" w:color="008000"/>
            </w:tcBorders>
            <w:shd w:val="clear" w:color="auto" w:fill="FFFFFF"/>
          </w:tcPr>
          <w:p w14:paraId="2BF58EF6" w14:textId="5ADC2E9B" w:rsidR="00587F2A" w:rsidRPr="00B57B36" w:rsidRDefault="00587F2A" w:rsidP="00F13489">
            <w:pPr>
              <w:pStyle w:val="CETBodytext"/>
              <w:ind w:right="-1"/>
              <w:rPr>
                <w:rFonts w:cs="Arial"/>
                <w:szCs w:val="18"/>
                <w:lang w:val="en-GB"/>
              </w:rPr>
            </w:pPr>
            <w:r>
              <w:rPr>
                <w:rFonts w:cs="Arial"/>
                <w:szCs w:val="18"/>
                <w:lang w:val="en-GB"/>
              </w:rPr>
              <w:t>Hydro</w:t>
            </w:r>
          </w:p>
        </w:tc>
        <w:tc>
          <w:tcPr>
            <w:tcW w:w="826" w:type="dxa"/>
            <w:tcBorders>
              <w:top w:val="single" w:sz="12" w:space="0" w:color="008000"/>
              <w:bottom w:val="single" w:sz="6" w:space="0" w:color="008000"/>
            </w:tcBorders>
            <w:shd w:val="clear" w:color="auto" w:fill="FFFFFF"/>
          </w:tcPr>
          <w:p w14:paraId="067A36BB" w14:textId="36BFB5E0" w:rsidR="00587F2A" w:rsidRPr="00B57B36" w:rsidRDefault="00587F2A" w:rsidP="00F13489">
            <w:pPr>
              <w:pStyle w:val="CETBodytext"/>
              <w:ind w:right="-1"/>
              <w:rPr>
                <w:rFonts w:cs="Arial"/>
                <w:szCs w:val="18"/>
                <w:lang w:val="en-GB"/>
              </w:rPr>
            </w:pPr>
            <w:r>
              <w:rPr>
                <w:rFonts w:cs="Arial"/>
                <w:szCs w:val="18"/>
                <w:lang w:val="en-GB"/>
              </w:rPr>
              <w:t>Renewable</w:t>
            </w:r>
          </w:p>
        </w:tc>
        <w:tc>
          <w:tcPr>
            <w:tcW w:w="826" w:type="dxa"/>
            <w:tcBorders>
              <w:top w:val="single" w:sz="12" w:space="0" w:color="008000"/>
              <w:bottom w:val="single" w:sz="6" w:space="0" w:color="008000"/>
            </w:tcBorders>
            <w:shd w:val="clear" w:color="auto" w:fill="FFFFFF"/>
          </w:tcPr>
          <w:p w14:paraId="199262BA" w14:textId="77777777" w:rsidR="00587F2A" w:rsidRPr="00B57B36" w:rsidRDefault="00587F2A" w:rsidP="00F13489">
            <w:pPr>
              <w:pStyle w:val="CETBodytext"/>
              <w:ind w:right="-1"/>
              <w:rPr>
                <w:rFonts w:cs="Arial"/>
                <w:szCs w:val="18"/>
                <w:lang w:val="en-GB"/>
              </w:rPr>
            </w:pPr>
          </w:p>
        </w:tc>
        <w:tc>
          <w:tcPr>
            <w:tcW w:w="826" w:type="dxa"/>
            <w:tcBorders>
              <w:top w:val="single" w:sz="12" w:space="0" w:color="008000"/>
              <w:bottom w:val="single" w:sz="6" w:space="0" w:color="008000"/>
            </w:tcBorders>
            <w:shd w:val="clear" w:color="auto" w:fill="FFFFFF"/>
          </w:tcPr>
          <w:p w14:paraId="1FE2354A" w14:textId="6706EEC7" w:rsidR="00587F2A" w:rsidRPr="00B57B36" w:rsidRDefault="00587F2A" w:rsidP="00F13489">
            <w:pPr>
              <w:pStyle w:val="CETBodytext"/>
              <w:ind w:right="-1"/>
              <w:rPr>
                <w:rFonts w:cs="Arial"/>
                <w:szCs w:val="18"/>
                <w:lang w:val="en-GB"/>
              </w:rPr>
            </w:pPr>
            <w:r>
              <w:rPr>
                <w:rFonts w:cs="Arial"/>
                <w:szCs w:val="18"/>
                <w:lang w:val="en-GB"/>
              </w:rPr>
              <w:t>Total</w:t>
            </w:r>
          </w:p>
        </w:tc>
        <w:tc>
          <w:tcPr>
            <w:tcW w:w="826" w:type="dxa"/>
            <w:tcBorders>
              <w:top w:val="single" w:sz="12" w:space="0" w:color="008000"/>
              <w:bottom w:val="single" w:sz="6" w:space="0" w:color="008000"/>
            </w:tcBorders>
            <w:shd w:val="clear" w:color="auto" w:fill="FFFFFF"/>
          </w:tcPr>
          <w:p w14:paraId="442328CE" w14:textId="77777777" w:rsidR="00587F2A" w:rsidRPr="00B57B36" w:rsidRDefault="00587F2A" w:rsidP="00F13489">
            <w:pPr>
              <w:pStyle w:val="CETBodytext"/>
              <w:ind w:right="-1"/>
              <w:rPr>
                <w:rFonts w:cs="Arial"/>
                <w:szCs w:val="18"/>
                <w:lang w:val="en-GB"/>
              </w:rPr>
            </w:pPr>
          </w:p>
        </w:tc>
      </w:tr>
      <w:tr w:rsidR="00587F2A" w:rsidRPr="00B57B36" w14:paraId="6EBA6365" w14:textId="13E14746" w:rsidTr="00587F2A">
        <w:tc>
          <w:tcPr>
            <w:tcW w:w="1036" w:type="dxa"/>
            <w:shd w:val="clear" w:color="auto" w:fill="FFFFFF"/>
          </w:tcPr>
          <w:p w14:paraId="37D22C28" w14:textId="5F19836C" w:rsidR="00587F2A" w:rsidRPr="00B57B36" w:rsidRDefault="00587F2A" w:rsidP="00F50DB4">
            <w:pPr>
              <w:pStyle w:val="CETBodytext"/>
              <w:rPr>
                <w:lang w:val="en-GB"/>
              </w:rPr>
            </w:pPr>
            <w:r>
              <w:rPr>
                <w:lang w:val="en-GB"/>
              </w:rPr>
              <w:t>China</w:t>
            </w:r>
            <w:r w:rsidR="00B36EB7">
              <w:rPr>
                <w:lang w:val="en-GB"/>
              </w:rPr>
              <w:t xml:space="preserve"> </w:t>
            </w:r>
          </w:p>
        </w:tc>
        <w:tc>
          <w:tcPr>
            <w:tcW w:w="984" w:type="dxa"/>
            <w:shd w:val="clear" w:color="auto" w:fill="FFFFFF"/>
          </w:tcPr>
          <w:p w14:paraId="14F4D8DE" w14:textId="70D3A40B" w:rsidR="00587F2A" w:rsidRPr="00B57B36" w:rsidRDefault="00B36EB7" w:rsidP="00F13489">
            <w:pPr>
              <w:pStyle w:val="CETBodytext"/>
              <w:rPr>
                <w:lang w:val="en-GB"/>
              </w:rPr>
            </w:pPr>
            <w:r>
              <w:rPr>
                <w:lang w:val="en-GB"/>
              </w:rPr>
              <w:t xml:space="preserve">    </w:t>
            </w:r>
            <w:r w:rsidR="00587F2A">
              <w:rPr>
                <w:lang w:val="en-GB"/>
              </w:rPr>
              <w:t>243.3</w:t>
            </w:r>
            <w:r w:rsidR="00A455FE">
              <w:rPr>
                <w:lang w:val="en-GB"/>
              </w:rPr>
              <w:t xml:space="preserve">            </w:t>
            </w:r>
          </w:p>
        </w:tc>
        <w:tc>
          <w:tcPr>
            <w:tcW w:w="926" w:type="dxa"/>
            <w:shd w:val="clear" w:color="auto" w:fill="FFFFFF"/>
          </w:tcPr>
          <w:p w14:paraId="10308A6D" w14:textId="1558FBC6" w:rsidR="00587F2A" w:rsidRPr="00B57B36" w:rsidRDefault="00A455FE" w:rsidP="00F13489">
            <w:pPr>
              <w:pStyle w:val="CETBodytext"/>
              <w:rPr>
                <w:lang w:val="en-GB"/>
              </w:rPr>
            </w:pPr>
            <w:r>
              <w:rPr>
                <w:lang w:val="en-GB"/>
              </w:rPr>
              <w:t xml:space="preserve">     1</w:t>
            </w:r>
            <w:r w:rsidR="00C3570C">
              <w:rPr>
                <w:lang w:val="en-GB"/>
              </w:rPr>
              <w:t>,</w:t>
            </w:r>
            <w:r>
              <w:rPr>
                <w:lang w:val="en-GB"/>
              </w:rPr>
              <w:t>906.7</w:t>
            </w:r>
          </w:p>
        </w:tc>
        <w:tc>
          <w:tcPr>
            <w:tcW w:w="885" w:type="dxa"/>
            <w:shd w:val="clear" w:color="auto" w:fill="FFFFFF"/>
          </w:tcPr>
          <w:p w14:paraId="313B3FE8" w14:textId="059BDB17" w:rsidR="00587F2A" w:rsidRPr="00B57B36" w:rsidRDefault="00587F2A" w:rsidP="00F13489">
            <w:pPr>
              <w:pStyle w:val="CETBodytext"/>
              <w:ind w:right="-1"/>
              <w:rPr>
                <w:rFonts w:cs="Arial"/>
                <w:szCs w:val="18"/>
                <w:lang w:val="en-GB"/>
              </w:rPr>
            </w:pPr>
            <w:r>
              <w:rPr>
                <w:rFonts w:cs="Arial"/>
                <w:szCs w:val="18"/>
                <w:lang w:val="en-GB"/>
              </w:rPr>
              <w:t>641.2</w:t>
            </w:r>
          </w:p>
        </w:tc>
        <w:tc>
          <w:tcPr>
            <w:tcW w:w="826" w:type="dxa"/>
            <w:shd w:val="clear" w:color="auto" w:fill="FFFFFF"/>
          </w:tcPr>
          <w:p w14:paraId="490F659F" w14:textId="6013F4AE" w:rsidR="00587F2A" w:rsidRPr="00B57B36" w:rsidRDefault="00587F2A" w:rsidP="00F13489">
            <w:pPr>
              <w:pStyle w:val="CETBodytext"/>
              <w:ind w:right="-1"/>
              <w:rPr>
                <w:rFonts w:cs="Arial"/>
                <w:szCs w:val="18"/>
                <w:lang w:val="en-GB"/>
              </w:rPr>
            </w:pPr>
            <w:r>
              <w:rPr>
                <w:rFonts w:cs="Arial"/>
                <w:szCs w:val="18"/>
                <w:lang w:val="en-GB"/>
              </w:rPr>
              <w:t>66.6</w:t>
            </w:r>
          </w:p>
        </w:tc>
        <w:tc>
          <w:tcPr>
            <w:tcW w:w="826" w:type="dxa"/>
            <w:shd w:val="clear" w:color="auto" w:fill="FFFFFF"/>
          </w:tcPr>
          <w:p w14:paraId="4477F324" w14:textId="01D46924" w:rsidR="00587F2A" w:rsidRPr="00B57B36" w:rsidRDefault="00587F2A" w:rsidP="00F13489">
            <w:pPr>
              <w:pStyle w:val="CETBodytext"/>
              <w:ind w:right="-1"/>
              <w:rPr>
                <w:rFonts w:cs="Arial"/>
                <w:szCs w:val="18"/>
                <w:lang w:val="en-GB"/>
              </w:rPr>
            </w:pPr>
            <w:r>
              <w:rPr>
                <w:rFonts w:cs="Arial"/>
                <w:szCs w:val="18"/>
                <w:lang w:val="en-GB"/>
              </w:rPr>
              <w:t>272.1</w:t>
            </w:r>
          </w:p>
        </w:tc>
        <w:tc>
          <w:tcPr>
            <w:tcW w:w="826" w:type="dxa"/>
            <w:shd w:val="clear" w:color="auto" w:fill="FFFFFF"/>
          </w:tcPr>
          <w:p w14:paraId="48B77416" w14:textId="15AE6103" w:rsidR="00587F2A" w:rsidRPr="00B57B36" w:rsidRDefault="00A455FE" w:rsidP="00F13489">
            <w:pPr>
              <w:pStyle w:val="CETBodytext"/>
              <w:ind w:right="-1"/>
              <w:rPr>
                <w:rFonts w:cs="Arial"/>
                <w:szCs w:val="18"/>
                <w:lang w:val="en-GB"/>
              </w:rPr>
            </w:pPr>
            <w:r>
              <w:rPr>
                <w:rFonts w:cs="Arial"/>
                <w:szCs w:val="18"/>
                <w:lang w:val="en-GB"/>
              </w:rPr>
              <w:t>143.5</w:t>
            </w:r>
          </w:p>
        </w:tc>
        <w:tc>
          <w:tcPr>
            <w:tcW w:w="826" w:type="dxa"/>
            <w:shd w:val="clear" w:color="auto" w:fill="FFFFFF"/>
          </w:tcPr>
          <w:p w14:paraId="40ED38D3" w14:textId="77777777" w:rsidR="00587F2A" w:rsidRPr="00B57B36" w:rsidRDefault="00587F2A" w:rsidP="00F13489">
            <w:pPr>
              <w:pStyle w:val="CETBodytext"/>
              <w:ind w:right="-1"/>
              <w:rPr>
                <w:rFonts w:cs="Arial"/>
                <w:szCs w:val="18"/>
                <w:lang w:val="en-GB"/>
              </w:rPr>
            </w:pPr>
          </w:p>
        </w:tc>
        <w:tc>
          <w:tcPr>
            <w:tcW w:w="826" w:type="dxa"/>
            <w:shd w:val="clear" w:color="auto" w:fill="FFFFFF"/>
          </w:tcPr>
          <w:p w14:paraId="67A9BF68" w14:textId="7531E19D" w:rsidR="00587F2A" w:rsidRPr="00B57B36" w:rsidRDefault="00A455FE" w:rsidP="00F13489">
            <w:pPr>
              <w:pStyle w:val="CETBodytext"/>
              <w:ind w:right="-1"/>
              <w:rPr>
                <w:rFonts w:cs="Arial"/>
                <w:szCs w:val="18"/>
                <w:lang w:val="en-GB"/>
              </w:rPr>
            </w:pPr>
            <w:r>
              <w:rPr>
                <w:rFonts w:cs="Arial"/>
                <w:szCs w:val="18"/>
                <w:lang w:val="en-GB"/>
              </w:rPr>
              <w:t>3</w:t>
            </w:r>
            <w:r w:rsidR="00C3570C">
              <w:rPr>
                <w:rFonts w:cs="Arial"/>
                <w:szCs w:val="18"/>
                <w:lang w:val="en-GB"/>
              </w:rPr>
              <w:t>,</w:t>
            </w:r>
            <w:r>
              <w:rPr>
                <w:rFonts w:cs="Arial"/>
                <w:szCs w:val="18"/>
                <w:lang w:val="en-GB"/>
              </w:rPr>
              <w:t>273.4</w:t>
            </w:r>
          </w:p>
        </w:tc>
        <w:tc>
          <w:tcPr>
            <w:tcW w:w="826" w:type="dxa"/>
            <w:shd w:val="clear" w:color="auto" w:fill="FFFFFF"/>
          </w:tcPr>
          <w:p w14:paraId="7620E0EE" w14:textId="77777777" w:rsidR="00587F2A" w:rsidRPr="00B57B36" w:rsidRDefault="00587F2A" w:rsidP="00F13489">
            <w:pPr>
              <w:pStyle w:val="CETBodytext"/>
              <w:ind w:right="-1"/>
              <w:rPr>
                <w:rFonts w:cs="Arial"/>
                <w:szCs w:val="18"/>
                <w:lang w:val="en-GB"/>
              </w:rPr>
            </w:pPr>
          </w:p>
        </w:tc>
      </w:tr>
      <w:tr w:rsidR="00587F2A" w:rsidRPr="00B57B36" w14:paraId="1CA36E1D" w14:textId="6661F6BB" w:rsidTr="00587F2A">
        <w:tc>
          <w:tcPr>
            <w:tcW w:w="1036" w:type="dxa"/>
            <w:shd w:val="clear" w:color="auto" w:fill="FFFFFF"/>
          </w:tcPr>
          <w:p w14:paraId="4DDF2DD0" w14:textId="77777777" w:rsidR="00587F2A" w:rsidRDefault="00A455FE" w:rsidP="00F13489">
            <w:pPr>
              <w:pStyle w:val="CETBodytext"/>
              <w:ind w:right="-1"/>
              <w:rPr>
                <w:rFonts w:cs="Arial"/>
                <w:szCs w:val="18"/>
                <w:lang w:val="en-GB"/>
              </w:rPr>
            </w:pPr>
            <w:r>
              <w:rPr>
                <w:rFonts w:cs="Arial"/>
                <w:szCs w:val="18"/>
                <w:lang w:val="en-GB"/>
              </w:rPr>
              <w:t>USA</w:t>
            </w:r>
          </w:p>
          <w:p w14:paraId="0DB1EAAA" w14:textId="77777777" w:rsidR="00A455FE" w:rsidRDefault="00A455FE" w:rsidP="00F13489">
            <w:pPr>
              <w:pStyle w:val="CETBodytext"/>
              <w:ind w:right="-1"/>
              <w:rPr>
                <w:rFonts w:cs="Arial"/>
                <w:szCs w:val="18"/>
                <w:lang w:val="en-GB"/>
              </w:rPr>
            </w:pPr>
            <w:r>
              <w:rPr>
                <w:rFonts w:cs="Arial"/>
                <w:szCs w:val="18"/>
                <w:lang w:val="en-GB"/>
              </w:rPr>
              <w:t>India</w:t>
            </w:r>
          </w:p>
          <w:p w14:paraId="170CE7B3" w14:textId="77777777" w:rsidR="00F50DB4" w:rsidRDefault="00654064" w:rsidP="00F13489">
            <w:pPr>
              <w:pStyle w:val="CETBodytext"/>
              <w:ind w:right="-1"/>
              <w:rPr>
                <w:rFonts w:cs="Arial"/>
                <w:szCs w:val="18"/>
                <w:lang w:val="en-GB"/>
              </w:rPr>
            </w:pPr>
            <w:r>
              <w:rPr>
                <w:rFonts w:cs="Arial"/>
                <w:szCs w:val="18"/>
                <w:lang w:val="en-GB"/>
              </w:rPr>
              <w:t>Russia</w:t>
            </w:r>
          </w:p>
          <w:p w14:paraId="3FFC530B" w14:textId="77777777" w:rsidR="00654064" w:rsidRDefault="00654064" w:rsidP="00F13489">
            <w:pPr>
              <w:pStyle w:val="CETBodytext"/>
              <w:ind w:right="-1"/>
              <w:rPr>
                <w:rFonts w:cs="Arial"/>
                <w:szCs w:val="18"/>
                <w:lang w:val="en-GB"/>
              </w:rPr>
            </w:pPr>
            <w:r>
              <w:rPr>
                <w:rFonts w:cs="Arial"/>
                <w:szCs w:val="18"/>
                <w:lang w:val="en-GB"/>
              </w:rPr>
              <w:t>Japan</w:t>
            </w:r>
          </w:p>
          <w:p w14:paraId="1AE36192" w14:textId="7760564F" w:rsidR="00654064" w:rsidRDefault="00654064" w:rsidP="00F13489">
            <w:pPr>
              <w:pStyle w:val="CETBodytext"/>
              <w:ind w:right="-1"/>
              <w:rPr>
                <w:rFonts w:cs="Arial"/>
                <w:szCs w:val="18"/>
                <w:lang w:val="en-GB"/>
              </w:rPr>
            </w:pPr>
            <w:r>
              <w:rPr>
                <w:rFonts w:cs="Arial"/>
                <w:szCs w:val="18"/>
                <w:lang w:val="en-GB"/>
              </w:rPr>
              <w:t>Germany</w:t>
            </w:r>
          </w:p>
          <w:p w14:paraId="45DC1055" w14:textId="7405DFAF" w:rsidR="00A90356" w:rsidRDefault="00A90356" w:rsidP="00F13489">
            <w:pPr>
              <w:pStyle w:val="CETBodytext"/>
              <w:ind w:right="-1"/>
              <w:rPr>
                <w:rFonts w:cs="Arial"/>
                <w:szCs w:val="18"/>
                <w:lang w:val="en-GB"/>
              </w:rPr>
            </w:pPr>
            <w:r>
              <w:rPr>
                <w:rFonts w:cs="Arial"/>
                <w:szCs w:val="18"/>
                <w:lang w:val="en-GB"/>
              </w:rPr>
              <w:t>South Korea</w:t>
            </w:r>
          </w:p>
          <w:p w14:paraId="7FA705A7" w14:textId="0B9BFAB6" w:rsidR="00A90356" w:rsidRDefault="00A90356" w:rsidP="00F13489">
            <w:pPr>
              <w:pStyle w:val="CETBodytext"/>
              <w:ind w:right="-1"/>
              <w:rPr>
                <w:rFonts w:cs="Arial"/>
                <w:szCs w:val="18"/>
                <w:lang w:val="en-GB"/>
              </w:rPr>
            </w:pPr>
            <w:r>
              <w:rPr>
                <w:rFonts w:cs="Arial"/>
                <w:szCs w:val="18"/>
                <w:lang w:val="en-GB"/>
              </w:rPr>
              <w:t>Brazil</w:t>
            </w:r>
          </w:p>
          <w:p w14:paraId="600F9F42" w14:textId="60ED4C0E" w:rsidR="00A90356" w:rsidRDefault="00A90356" w:rsidP="00F13489">
            <w:pPr>
              <w:pStyle w:val="CETBodytext"/>
              <w:ind w:right="-1"/>
              <w:rPr>
                <w:rFonts w:cs="Arial"/>
                <w:szCs w:val="18"/>
                <w:lang w:val="en-GB"/>
              </w:rPr>
            </w:pPr>
            <w:r>
              <w:rPr>
                <w:rFonts w:cs="Arial"/>
                <w:szCs w:val="18"/>
                <w:lang w:val="en-GB"/>
              </w:rPr>
              <w:t>France</w:t>
            </w:r>
          </w:p>
          <w:p w14:paraId="6A70E915" w14:textId="295E1018" w:rsidR="00A90356" w:rsidRDefault="00A90356" w:rsidP="00F13489">
            <w:pPr>
              <w:pStyle w:val="CETBodytext"/>
              <w:ind w:right="-1"/>
              <w:rPr>
                <w:rFonts w:cs="Arial"/>
                <w:szCs w:val="18"/>
                <w:lang w:val="en-GB"/>
              </w:rPr>
            </w:pPr>
            <w:r>
              <w:rPr>
                <w:rFonts w:cs="Arial"/>
                <w:szCs w:val="18"/>
                <w:lang w:val="en-GB"/>
              </w:rPr>
              <w:t>UK</w:t>
            </w:r>
          </w:p>
          <w:p w14:paraId="11779816" w14:textId="77777777" w:rsidR="00A90356" w:rsidRDefault="00A90356" w:rsidP="00F13489">
            <w:pPr>
              <w:pStyle w:val="CETBodytext"/>
              <w:ind w:right="-1"/>
              <w:rPr>
                <w:rFonts w:cs="Arial"/>
                <w:szCs w:val="18"/>
                <w:lang w:val="en-GB"/>
              </w:rPr>
            </w:pPr>
            <w:r>
              <w:rPr>
                <w:rFonts w:cs="Arial"/>
                <w:szCs w:val="18"/>
                <w:lang w:val="en-GB"/>
              </w:rPr>
              <w:t>Italy</w:t>
            </w:r>
          </w:p>
          <w:p w14:paraId="7F840356" w14:textId="22E0DC5B" w:rsidR="00A90356" w:rsidRPr="00B57B36" w:rsidRDefault="00A90356" w:rsidP="00F13489">
            <w:pPr>
              <w:pStyle w:val="CETBodytext"/>
              <w:ind w:right="-1"/>
              <w:rPr>
                <w:rFonts w:cs="Arial"/>
                <w:szCs w:val="18"/>
                <w:lang w:val="en-GB"/>
              </w:rPr>
            </w:pPr>
            <w:r>
              <w:rPr>
                <w:rFonts w:cs="Arial"/>
                <w:szCs w:val="18"/>
                <w:lang w:val="en-GB"/>
              </w:rPr>
              <w:t>South Africa</w:t>
            </w:r>
          </w:p>
        </w:tc>
        <w:tc>
          <w:tcPr>
            <w:tcW w:w="984" w:type="dxa"/>
            <w:shd w:val="clear" w:color="auto" w:fill="FFFFFF"/>
          </w:tcPr>
          <w:p w14:paraId="373432EB" w14:textId="4AEC2F12" w:rsidR="00587F2A" w:rsidRDefault="00B36EB7" w:rsidP="00F13489">
            <w:pPr>
              <w:pStyle w:val="CETBodytext"/>
              <w:ind w:right="-1"/>
              <w:rPr>
                <w:rFonts w:cs="Arial"/>
                <w:szCs w:val="18"/>
                <w:lang w:val="en-GB"/>
              </w:rPr>
            </w:pPr>
            <w:r>
              <w:rPr>
                <w:rFonts w:cs="Arial"/>
                <w:szCs w:val="18"/>
                <w:lang w:val="en-GB"/>
              </w:rPr>
              <w:t xml:space="preserve">    </w:t>
            </w:r>
            <w:r w:rsidR="00A455FE">
              <w:rPr>
                <w:rFonts w:cs="Arial"/>
                <w:szCs w:val="18"/>
                <w:lang w:val="en-GB"/>
              </w:rPr>
              <w:t>702.6</w:t>
            </w:r>
            <w:r w:rsidR="001535C0">
              <w:rPr>
                <w:rFonts w:cs="Arial"/>
                <w:szCs w:val="18"/>
                <w:lang w:val="en-GB"/>
              </w:rPr>
              <w:t xml:space="preserve">             </w:t>
            </w:r>
          </w:p>
          <w:p w14:paraId="4000701A" w14:textId="03F4BAAA" w:rsidR="00A455FE" w:rsidRDefault="00B36EB7" w:rsidP="00F13489">
            <w:pPr>
              <w:pStyle w:val="CETBodytext"/>
              <w:ind w:right="-1"/>
              <w:rPr>
                <w:rFonts w:cs="Arial"/>
                <w:szCs w:val="18"/>
                <w:lang w:val="en-GB"/>
              </w:rPr>
            </w:pPr>
            <w:r>
              <w:rPr>
                <w:rFonts w:cs="Arial"/>
                <w:szCs w:val="18"/>
                <w:lang w:val="en-GB"/>
              </w:rPr>
              <w:t xml:space="preserve">    </w:t>
            </w:r>
            <w:r w:rsidR="00A455FE">
              <w:rPr>
                <w:rFonts w:cs="Arial"/>
                <w:szCs w:val="18"/>
                <w:lang w:val="en-GB"/>
              </w:rPr>
              <w:t>49.9</w:t>
            </w:r>
          </w:p>
          <w:p w14:paraId="58E8B868" w14:textId="30C9B617" w:rsidR="00F50DB4" w:rsidRDefault="00B36EB7" w:rsidP="00F13489">
            <w:pPr>
              <w:pStyle w:val="CETBodytext"/>
              <w:ind w:right="-1"/>
              <w:rPr>
                <w:rFonts w:cs="Arial"/>
                <w:szCs w:val="18"/>
                <w:lang w:val="en-GB"/>
              </w:rPr>
            </w:pPr>
            <w:r>
              <w:rPr>
                <w:rFonts w:cs="Arial"/>
                <w:szCs w:val="18"/>
                <w:lang w:val="en-GB"/>
              </w:rPr>
              <w:t xml:space="preserve">    </w:t>
            </w:r>
            <w:r w:rsidR="00654064">
              <w:rPr>
                <w:rFonts w:cs="Arial"/>
                <w:szCs w:val="18"/>
                <w:lang w:val="en-GB"/>
              </w:rPr>
              <w:t>390.8</w:t>
            </w:r>
          </w:p>
          <w:p w14:paraId="4E4B668D" w14:textId="5F001218" w:rsidR="00654064" w:rsidRDefault="00B36EB7" w:rsidP="00F13489">
            <w:pPr>
              <w:pStyle w:val="CETBodytext"/>
              <w:ind w:right="-1"/>
              <w:rPr>
                <w:rFonts w:cs="Arial"/>
                <w:szCs w:val="18"/>
                <w:lang w:val="en-GB"/>
              </w:rPr>
            </w:pPr>
            <w:r>
              <w:rPr>
                <w:rFonts w:cs="Arial"/>
                <w:szCs w:val="18"/>
                <w:lang w:val="en-GB"/>
              </w:rPr>
              <w:t xml:space="preserve">    </w:t>
            </w:r>
            <w:r w:rsidR="00654064">
              <w:rPr>
                <w:rFonts w:cs="Arial"/>
                <w:szCs w:val="18"/>
                <w:lang w:val="en-GB"/>
              </w:rPr>
              <w:t>99.5</w:t>
            </w:r>
          </w:p>
          <w:p w14:paraId="2D48022F" w14:textId="748ABE2B" w:rsidR="00654064" w:rsidRDefault="00B36EB7" w:rsidP="00F13489">
            <w:pPr>
              <w:pStyle w:val="CETBodytext"/>
              <w:ind w:right="-1"/>
              <w:rPr>
                <w:rFonts w:cs="Arial"/>
                <w:szCs w:val="18"/>
                <w:lang w:val="en-GB"/>
              </w:rPr>
            </w:pPr>
            <w:r>
              <w:rPr>
                <w:rFonts w:cs="Arial"/>
                <w:szCs w:val="18"/>
                <w:lang w:val="en-GB"/>
              </w:rPr>
              <w:t xml:space="preserve">    </w:t>
            </w:r>
            <w:r w:rsidR="00654064">
              <w:rPr>
                <w:rFonts w:cs="Arial"/>
                <w:szCs w:val="18"/>
                <w:lang w:val="en-GB"/>
              </w:rPr>
              <w:t>75.9</w:t>
            </w:r>
          </w:p>
          <w:p w14:paraId="30B06EC7" w14:textId="0429778F" w:rsidR="00A9035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48.1</w:t>
            </w:r>
          </w:p>
          <w:p w14:paraId="5BB47115" w14:textId="335C618E" w:rsidR="00A9035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30.9</w:t>
            </w:r>
          </w:p>
          <w:p w14:paraId="5BB631A7" w14:textId="695E1D81" w:rsidR="00A9035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36.7</w:t>
            </w:r>
          </w:p>
          <w:p w14:paraId="2EF0F123" w14:textId="1C103FF8" w:rsidR="00A9035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67.8</w:t>
            </w:r>
          </w:p>
          <w:p w14:paraId="322B9210" w14:textId="6FB94003" w:rsidR="00A9035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59.5</w:t>
            </w:r>
          </w:p>
          <w:p w14:paraId="0680FEF2" w14:textId="2A0DDE03" w:rsidR="00A90356" w:rsidRPr="00B57B3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3.7</w:t>
            </w:r>
          </w:p>
        </w:tc>
        <w:tc>
          <w:tcPr>
            <w:tcW w:w="926" w:type="dxa"/>
            <w:shd w:val="clear" w:color="auto" w:fill="FFFFFF"/>
          </w:tcPr>
          <w:p w14:paraId="725B2EC0" w14:textId="051429FF" w:rsidR="00587F2A" w:rsidRDefault="001535C0" w:rsidP="00F13489">
            <w:pPr>
              <w:pStyle w:val="CETBodytext"/>
              <w:ind w:right="-1"/>
              <w:rPr>
                <w:rFonts w:cs="Arial"/>
                <w:szCs w:val="18"/>
                <w:lang w:val="en-GB"/>
              </w:rPr>
            </w:pPr>
            <w:r>
              <w:rPr>
                <w:rFonts w:cs="Arial"/>
                <w:szCs w:val="18"/>
                <w:lang w:val="en-GB"/>
              </w:rPr>
              <w:t xml:space="preserve">     317.0</w:t>
            </w:r>
          </w:p>
          <w:p w14:paraId="41D4CA55" w14:textId="719BD973" w:rsidR="001535C0" w:rsidRDefault="001535C0" w:rsidP="00F13489">
            <w:pPr>
              <w:pStyle w:val="CETBodytext"/>
              <w:ind w:right="-1"/>
              <w:rPr>
                <w:rFonts w:cs="Arial"/>
                <w:szCs w:val="18"/>
                <w:lang w:val="en-GB"/>
              </w:rPr>
            </w:pPr>
            <w:r>
              <w:rPr>
                <w:rFonts w:cs="Arial"/>
                <w:szCs w:val="18"/>
                <w:lang w:val="en-GB"/>
              </w:rPr>
              <w:t xml:space="preserve">     452.2</w:t>
            </w:r>
          </w:p>
          <w:p w14:paraId="773FAA5A" w14:textId="02F20B5D" w:rsidR="00F50DB4" w:rsidRDefault="00B36EB7" w:rsidP="00F13489">
            <w:pPr>
              <w:pStyle w:val="CETBodytext"/>
              <w:ind w:right="-1"/>
              <w:rPr>
                <w:rFonts w:cs="Arial"/>
                <w:szCs w:val="18"/>
                <w:lang w:val="en-GB"/>
              </w:rPr>
            </w:pPr>
            <w:r>
              <w:rPr>
                <w:rFonts w:cs="Arial"/>
                <w:szCs w:val="18"/>
                <w:lang w:val="en-GB"/>
              </w:rPr>
              <w:t xml:space="preserve">     </w:t>
            </w:r>
            <w:r w:rsidR="00654064">
              <w:rPr>
                <w:rFonts w:cs="Arial"/>
                <w:szCs w:val="18"/>
                <w:lang w:val="en-GB"/>
              </w:rPr>
              <w:t>88.0</w:t>
            </w:r>
          </w:p>
          <w:p w14:paraId="50145C13" w14:textId="4DB1404C" w:rsidR="00654064" w:rsidRDefault="00B36EB7" w:rsidP="00F13489">
            <w:pPr>
              <w:pStyle w:val="CETBodytext"/>
              <w:ind w:right="-1"/>
              <w:rPr>
                <w:rFonts w:cs="Arial"/>
                <w:szCs w:val="18"/>
                <w:lang w:val="en-GB"/>
              </w:rPr>
            </w:pPr>
            <w:r>
              <w:rPr>
                <w:rFonts w:cs="Arial"/>
                <w:szCs w:val="18"/>
                <w:lang w:val="en-GB"/>
              </w:rPr>
              <w:t xml:space="preserve">     </w:t>
            </w:r>
            <w:r w:rsidR="00654064">
              <w:rPr>
                <w:rFonts w:cs="Arial"/>
                <w:szCs w:val="18"/>
                <w:lang w:val="en-GB"/>
              </w:rPr>
              <w:t>117.5</w:t>
            </w:r>
          </w:p>
          <w:p w14:paraId="6F1B62BD" w14:textId="23FC883D" w:rsidR="00654064" w:rsidRDefault="00B36EB7" w:rsidP="00F13489">
            <w:pPr>
              <w:pStyle w:val="CETBodytext"/>
              <w:ind w:right="-1"/>
              <w:rPr>
                <w:rFonts w:cs="Arial"/>
                <w:szCs w:val="18"/>
                <w:lang w:val="en-GB"/>
              </w:rPr>
            </w:pPr>
            <w:r>
              <w:rPr>
                <w:rFonts w:cs="Arial"/>
                <w:szCs w:val="18"/>
                <w:lang w:val="en-GB"/>
              </w:rPr>
              <w:t xml:space="preserve">     </w:t>
            </w:r>
            <w:r w:rsidR="00654064">
              <w:rPr>
                <w:rFonts w:cs="Arial"/>
                <w:szCs w:val="18"/>
                <w:lang w:val="en-GB"/>
              </w:rPr>
              <w:t>66.4</w:t>
            </w:r>
          </w:p>
          <w:p w14:paraId="6B290922" w14:textId="4A2D14CF" w:rsidR="00A9035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88.2</w:t>
            </w:r>
          </w:p>
          <w:p w14:paraId="2EA34C75" w14:textId="3D8EDF2A" w:rsidR="00A9035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15.9</w:t>
            </w:r>
          </w:p>
          <w:p w14:paraId="7AB692C0" w14:textId="585CFEB5" w:rsidR="00A9035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8.4</w:t>
            </w:r>
          </w:p>
          <w:p w14:paraId="427E8C3C" w14:textId="5414C227" w:rsidR="00A9035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7.6</w:t>
            </w:r>
          </w:p>
          <w:p w14:paraId="4690E791" w14:textId="555F1F82" w:rsidR="00A90356" w:rsidRDefault="00B36EB7" w:rsidP="00F13489">
            <w:pPr>
              <w:pStyle w:val="CETBodytext"/>
              <w:ind w:right="-1"/>
              <w:rPr>
                <w:rFonts w:cs="Arial"/>
                <w:szCs w:val="18"/>
                <w:lang w:val="en-GB"/>
              </w:rPr>
            </w:pPr>
            <w:r>
              <w:rPr>
                <w:rFonts w:cs="Arial"/>
                <w:szCs w:val="18"/>
                <w:lang w:val="en-GB"/>
              </w:rPr>
              <w:t xml:space="preserve">     </w:t>
            </w:r>
            <w:r w:rsidR="00A90356">
              <w:rPr>
                <w:rFonts w:cs="Arial"/>
                <w:szCs w:val="18"/>
                <w:lang w:val="en-GB"/>
              </w:rPr>
              <w:t>8.9</w:t>
            </w:r>
          </w:p>
          <w:p w14:paraId="1DC13167" w14:textId="4B13BA3F" w:rsidR="00A90356" w:rsidRPr="00B57B36" w:rsidRDefault="00B36EB7" w:rsidP="00617464">
            <w:pPr>
              <w:pStyle w:val="CETBodytext"/>
              <w:ind w:right="-1"/>
              <w:rPr>
                <w:rFonts w:cs="Arial"/>
                <w:szCs w:val="18"/>
                <w:lang w:val="en-GB"/>
              </w:rPr>
            </w:pPr>
            <w:r>
              <w:rPr>
                <w:rFonts w:cs="Arial"/>
                <w:szCs w:val="18"/>
                <w:lang w:val="en-GB"/>
              </w:rPr>
              <w:t xml:space="preserve">     </w:t>
            </w:r>
            <w:r w:rsidR="00A90356">
              <w:rPr>
                <w:rFonts w:cs="Arial"/>
                <w:szCs w:val="18"/>
                <w:lang w:val="en-GB"/>
              </w:rPr>
              <w:t>86.0</w:t>
            </w:r>
          </w:p>
        </w:tc>
        <w:tc>
          <w:tcPr>
            <w:tcW w:w="885" w:type="dxa"/>
            <w:shd w:val="clear" w:color="auto" w:fill="FFFFFF"/>
          </w:tcPr>
          <w:p w14:paraId="6DE0199C" w14:textId="77777777" w:rsidR="00587F2A" w:rsidRDefault="00A455FE" w:rsidP="00F13489">
            <w:pPr>
              <w:pStyle w:val="CETBodytext"/>
              <w:ind w:right="-1"/>
              <w:rPr>
                <w:rFonts w:cs="Arial"/>
                <w:szCs w:val="18"/>
                <w:lang w:val="en-GB"/>
              </w:rPr>
            </w:pPr>
            <w:r>
              <w:rPr>
                <w:rFonts w:cs="Arial"/>
                <w:szCs w:val="18"/>
                <w:lang w:val="en-GB"/>
              </w:rPr>
              <w:t>919.7</w:t>
            </w:r>
          </w:p>
          <w:p w14:paraId="46DF0DC4" w14:textId="77777777" w:rsidR="00A455FE" w:rsidRDefault="00A455FE" w:rsidP="00F13489">
            <w:pPr>
              <w:pStyle w:val="CETBodytext"/>
              <w:ind w:right="-1"/>
              <w:rPr>
                <w:rFonts w:cs="Arial"/>
                <w:szCs w:val="18"/>
                <w:lang w:val="en-GB"/>
              </w:rPr>
            </w:pPr>
            <w:r>
              <w:rPr>
                <w:rFonts w:cs="Arial"/>
                <w:szCs w:val="18"/>
                <w:lang w:val="en-GB"/>
              </w:rPr>
              <w:t>239.1</w:t>
            </w:r>
          </w:p>
          <w:p w14:paraId="26F6BDEF" w14:textId="77777777" w:rsidR="00F50DB4" w:rsidRDefault="00654064" w:rsidP="00F13489">
            <w:pPr>
              <w:pStyle w:val="CETBodytext"/>
              <w:ind w:right="-1"/>
              <w:rPr>
                <w:rFonts w:cs="Arial"/>
                <w:szCs w:val="18"/>
                <w:lang w:val="en-GB"/>
              </w:rPr>
            </w:pPr>
            <w:r>
              <w:rPr>
                <w:rFonts w:cs="Arial"/>
                <w:szCs w:val="18"/>
                <w:lang w:val="en-GB"/>
              </w:rPr>
              <w:t>152.3</w:t>
            </w:r>
          </w:p>
          <w:p w14:paraId="75E836A3" w14:textId="77777777" w:rsidR="00654064" w:rsidRDefault="00654064" w:rsidP="00F13489">
            <w:pPr>
              <w:pStyle w:val="CETBodytext"/>
              <w:ind w:right="-1"/>
              <w:rPr>
                <w:rFonts w:cs="Arial"/>
                <w:szCs w:val="18"/>
                <w:lang w:val="en-GB"/>
              </w:rPr>
            </w:pPr>
            <w:r>
              <w:rPr>
                <w:rFonts w:cs="Arial"/>
                <w:szCs w:val="18"/>
                <w:lang w:val="en-GB"/>
              </w:rPr>
              <w:t>182.4</w:t>
            </w:r>
          </w:p>
          <w:p w14:paraId="60CBB549" w14:textId="344FB70E" w:rsidR="00654064" w:rsidRDefault="00654064" w:rsidP="00F13489">
            <w:pPr>
              <w:pStyle w:val="CETBodytext"/>
              <w:ind w:right="-1"/>
              <w:rPr>
                <w:rFonts w:cs="Arial"/>
                <w:szCs w:val="18"/>
                <w:lang w:val="en-GB"/>
              </w:rPr>
            </w:pPr>
            <w:r>
              <w:rPr>
                <w:rFonts w:cs="Arial"/>
                <w:szCs w:val="18"/>
                <w:lang w:val="en-GB"/>
              </w:rPr>
              <w:t>113.2</w:t>
            </w:r>
          </w:p>
          <w:p w14:paraId="712E702C" w14:textId="1320A867" w:rsidR="00A90356" w:rsidRDefault="00617464" w:rsidP="00F13489">
            <w:pPr>
              <w:pStyle w:val="CETBodytext"/>
              <w:ind w:right="-1"/>
              <w:rPr>
                <w:rFonts w:cs="Arial"/>
                <w:szCs w:val="18"/>
                <w:lang w:val="en-GB"/>
              </w:rPr>
            </w:pPr>
            <w:r>
              <w:rPr>
                <w:rFonts w:cs="Arial"/>
                <w:szCs w:val="18"/>
                <w:lang w:val="en-GB"/>
              </w:rPr>
              <w:t>128.9</w:t>
            </w:r>
          </w:p>
          <w:p w14:paraId="0B843DAE" w14:textId="6E4B8BD5" w:rsidR="00A90356" w:rsidRDefault="00617464" w:rsidP="00F13489">
            <w:pPr>
              <w:pStyle w:val="CETBodytext"/>
              <w:ind w:right="-1"/>
              <w:rPr>
                <w:rFonts w:cs="Arial"/>
                <w:szCs w:val="18"/>
                <w:lang w:val="en-GB"/>
              </w:rPr>
            </w:pPr>
            <w:r>
              <w:rPr>
                <w:rFonts w:cs="Arial"/>
                <w:szCs w:val="18"/>
                <w:lang w:val="en-GB"/>
              </w:rPr>
              <w:t>135.9</w:t>
            </w:r>
          </w:p>
          <w:p w14:paraId="686FA541" w14:textId="68E52C0F" w:rsidR="00A90356" w:rsidRDefault="00617464" w:rsidP="00F13489">
            <w:pPr>
              <w:pStyle w:val="CETBodytext"/>
              <w:ind w:right="-1"/>
              <w:rPr>
                <w:rFonts w:cs="Arial"/>
                <w:szCs w:val="18"/>
                <w:lang w:val="en-GB"/>
              </w:rPr>
            </w:pPr>
            <w:r>
              <w:rPr>
                <w:rFonts w:cs="Arial"/>
                <w:szCs w:val="18"/>
                <w:lang w:val="en-GB"/>
              </w:rPr>
              <w:t>78.9</w:t>
            </w:r>
          </w:p>
          <w:p w14:paraId="573EB8E5" w14:textId="6D489F64" w:rsidR="00A90356" w:rsidRDefault="00617464" w:rsidP="00F13489">
            <w:pPr>
              <w:pStyle w:val="CETBodytext"/>
              <w:ind w:right="-1"/>
              <w:rPr>
                <w:rFonts w:cs="Arial"/>
                <w:szCs w:val="18"/>
                <w:lang w:val="en-GB"/>
              </w:rPr>
            </w:pPr>
            <w:r>
              <w:rPr>
                <w:rFonts w:cs="Arial"/>
                <w:szCs w:val="18"/>
                <w:lang w:val="en-GB"/>
              </w:rPr>
              <w:t>77.0</w:t>
            </w:r>
          </w:p>
          <w:p w14:paraId="49AD7B92" w14:textId="77777777" w:rsidR="00A90356" w:rsidRDefault="00617464" w:rsidP="00F13489">
            <w:pPr>
              <w:pStyle w:val="CETBodytext"/>
              <w:ind w:right="-1"/>
              <w:rPr>
                <w:rFonts w:cs="Arial"/>
                <w:szCs w:val="18"/>
                <w:lang w:val="en-GB"/>
              </w:rPr>
            </w:pPr>
            <w:r>
              <w:rPr>
                <w:rFonts w:cs="Arial"/>
                <w:szCs w:val="18"/>
                <w:lang w:val="en-GB"/>
              </w:rPr>
              <w:t>60.8</w:t>
            </w:r>
          </w:p>
          <w:p w14:paraId="17910BB2" w14:textId="0A134F52" w:rsidR="00617464" w:rsidRPr="00B57B36" w:rsidRDefault="00617464" w:rsidP="00F13489">
            <w:pPr>
              <w:pStyle w:val="CETBodytext"/>
              <w:ind w:right="-1"/>
              <w:rPr>
                <w:rFonts w:cs="Arial"/>
                <w:szCs w:val="18"/>
                <w:lang w:val="en-GB"/>
              </w:rPr>
            </w:pPr>
            <w:r>
              <w:rPr>
                <w:rFonts w:cs="Arial"/>
                <w:szCs w:val="18"/>
                <w:lang w:val="en-GB"/>
              </w:rPr>
              <w:t>26.3</w:t>
            </w:r>
          </w:p>
        </w:tc>
        <w:tc>
          <w:tcPr>
            <w:tcW w:w="826" w:type="dxa"/>
            <w:shd w:val="clear" w:color="auto" w:fill="FFFFFF"/>
          </w:tcPr>
          <w:p w14:paraId="55ADB065" w14:textId="77777777" w:rsidR="00587F2A" w:rsidRDefault="00A455FE" w:rsidP="00F13489">
            <w:pPr>
              <w:pStyle w:val="CETBodytext"/>
              <w:ind w:right="-1"/>
              <w:rPr>
                <w:rFonts w:cs="Arial"/>
                <w:szCs w:val="18"/>
                <w:lang w:val="en-GB"/>
              </w:rPr>
            </w:pPr>
            <w:r>
              <w:rPr>
                <w:rFonts w:cs="Arial"/>
                <w:szCs w:val="18"/>
                <w:lang w:val="en-GB"/>
              </w:rPr>
              <w:t>192.2</w:t>
            </w:r>
          </w:p>
          <w:p w14:paraId="5229BC68" w14:textId="77777777" w:rsidR="00A455FE" w:rsidRDefault="00A455FE" w:rsidP="00F13489">
            <w:pPr>
              <w:pStyle w:val="CETBodytext"/>
              <w:ind w:right="-1"/>
              <w:rPr>
                <w:rFonts w:cs="Arial"/>
                <w:szCs w:val="18"/>
                <w:lang w:val="en-GB"/>
              </w:rPr>
            </w:pPr>
            <w:r>
              <w:rPr>
                <w:rFonts w:cs="Arial"/>
                <w:szCs w:val="18"/>
                <w:lang w:val="en-GB"/>
              </w:rPr>
              <w:t>8.8</w:t>
            </w:r>
          </w:p>
          <w:p w14:paraId="273E703C" w14:textId="77777777" w:rsidR="00F50DB4" w:rsidRDefault="00654064" w:rsidP="00F13489">
            <w:pPr>
              <w:pStyle w:val="CETBodytext"/>
              <w:ind w:right="-1"/>
              <w:rPr>
                <w:rFonts w:cs="Arial"/>
                <w:szCs w:val="18"/>
                <w:lang w:val="en-GB"/>
              </w:rPr>
            </w:pPr>
            <w:r>
              <w:rPr>
                <w:rFonts w:cs="Arial"/>
                <w:szCs w:val="18"/>
                <w:lang w:val="en-GB"/>
              </w:rPr>
              <w:t>46.3</w:t>
            </w:r>
          </w:p>
          <w:p w14:paraId="382609EA" w14:textId="77777777" w:rsidR="00654064" w:rsidRDefault="00654064" w:rsidP="00F13489">
            <w:pPr>
              <w:pStyle w:val="CETBodytext"/>
              <w:ind w:right="-1"/>
              <w:rPr>
                <w:rFonts w:cs="Arial"/>
                <w:szCs w:val="18"/>
                <w:lang w:val="en-GB"/>
              </w:rPr>
            </w:pPr>
            <w:r>
              <w:rPr>
                <w:rFonts w:cs="Arial"/>
                <w:szCs w:val="18"/>
                <w:lang w:val="en-GB"/>
              </w:rPr>
              <w:t>11.1</w:t>
            </w:r>
          </w:p>
          <w:p w14:paraId="4C740DE4" w14:textId="7DC1410A" w:rsidR="00654064" w:rsidRDefault="00654064" w:rsidP="00F13489">
            <w:pPr>
              <w:pStyle w:val="CETBodytext"/>
              <w:ind w:right="-1"/>
              <w:rPr>
                <w:rFonts w:cs="Arial"/>
                <w:szCs w:val="18"/>
                <w:lang w:val="en-GB"/>
              </w:rPr>
            </w:pPr>
            <w:r>
              <w:rPr>
                <w:rFonts w:cs="Arial"/>
                <w:szCs w:val="18"/>
                <w:lang w:val="en-GB"/>
              </w:rPr>
              <w:t>17.2</w:t>
            </w:r>
          </w:p>
          <w:p w14:paraId="79E9229A" w14:textId="08206205" w:rsidR="00A90356" w:rsidRDefault="00617464" w:rsidP="00F13489">
            <w:pPr>
              <w:pStyle w:val="CETBodytext"/>
              <w:ind w:right="-1"/>
              <w:rPr>
                <w:rFonts w:cs="Arial"/>
                <w:szCs w:val="18"/>
                <w:lang w:val="en-GB"/>
              </w:rPr>
            </w:pPr>
            <w:r>
              <w:rPr>
                <w:rFonts w:cs="Arial"/>
                <w:szCs w:val="18"/>
                <w:lang w:val="en-GB"/>
              </w:rPr>
              <w:t>30.2</w:t>
            </w:r>
          </w:p>
          <w:p w14:paraId="04FE088F" w14:textId="2CC38EF4" w:rsidR="00A90356" w:rsidRDefault="00617464" w:rsidP="00F13489">
            <w:pPr>
              <w:pStyle w:val="CETBodytext"/>
              <w:ind w:right="-1"/>
              <w:rPr>
                <w:rFonts w:cs="Arial"/>
                <w:szCs w:val="18"/>
                <w:lang w:val="en-GB"/>
              </w:rPr>
            </w:pPr>
            <w:r>
              <w:rPr>
                <w:rFonts w:cs="Arial"/>
                <w:szCs w:val="18"/>
                <w:lang w:val="en-GB"/>
              </w:rPr>
              <w:t>3.5</w:t>
            </w:r>
          </w:p>
          <w:p w14:paraId="74A90494" w14:textId="383E4B5E" w:rsidR="00A90356" w:rsidRDefault="00617464" w:rsidP="00F13489">
            <w:pPr>
              <w:pStyle w:val="CETBodytext"/>
              <w:ind w:right="-1"/>
              <w:rPr>
                <w:rFonts w:cs="Arial"/>
                <w:szCs w:val="18"/>
                <w:lang w:val="en-GB"/>
              </w:rPr>
            </w:pPr>
            <w:r>
              <w:rPr>
                <w:rFonts w:cs="Arial"/>
                <w:szCs w:val="18"/>
                <w:lang w:val="en-GB"/>
              </w:rPr>
              <w:t>93.5</w:t>
            </w:r>
          </w:p>
          <w:p w14:paraId="0D5DACB0" w14:textId="39C73BDF" w:rsidR="00A90356" w:rsidRDefault="00617464" w:rsidP="00F13489">
            <w:pPr>
              <w:pStyle w:val="CETBodytext"/>
              <w:ind w:right="-1"/>
              <w:rPr>
                <w:rFonts w:cs="Arial"/>
                <w:szCs w:val="18"/>
                <w:lang w:val="en-GB"/>
              </w:rPr>
            </w:pPr>
            <w:r>
              <w:rPr>
                <w:rFonts w:cs="Arial"/>
                <w:szCs w:val="18"/>
                <w:lang w:val="en-GB"/>
              </w:rPr>
              <w:t>14.7</w:t>
            </w:r>
          </w:p>
          <w:p w14:paraId="7C4C1526" w14:textId="77777777" w:rsidR="00A90356" w:rsidRDefault="00617464" w:rsidP="00F13489">
            <w:pPr>
              <w:pStyle w:val="CETBodytext"/>
              <w:ind w:right="-1"/>
              <w:rPr>
                <w:rFonts w:cs="Arial"/>
                <w:szCs w:val="18"/>
                <w:lang w:val="en-GB"/>
              </w:rPr>
            </w:pPr>
            <w:r>
              <w:rPr>
                <w:rFonts w:cs="Arial"/>
                <w:szCs w:val="18"/>
                <w:lang w:val="en-GB"/>
              </w:rPr>
              <w:t>0.0</w:t>
            </w:r>
          </w:p>
          <w:p w14:paraId="327A65E2" w14:textId="5C1BF2CD" w:rsidR="00617464" w:rsidRPr="00B57B36" w:rsidRDefault="00617464" w:rsidP="00F13489">
            <w:pPr>
              <w:pStyle w:val="CETBodytext"/>
              <w:ind w:right="-1"/>
              <w:rPr>
                <w:rFonts w:cs="Arial"/>
                <w:szCs w:val="18"/>
                <w:lang w:val="en-GB"/>
              </w:rPr>
            </w:pPr>
            <w:r>
              <w:rPr>
                <w:rFonts w:cs="Arial"/>
                <w:szCs w:val="18"/>
                <w:lang w:val="en-GB"/>
              </w:rPr>
              <w:t>2.6</w:t>
            </w:r>
          </w:p>
        </w:tc>
        <w:tc>
          <w:tcPr>
            <w:tcW w:w="826" w:type="dxa"/>
            <w:shd w:val="clear" w:color="auto" w:fill="FFFFFF"/>
          </w:tcPr>
          <w:p w14:paraId="2DB6C71F" w14:textId="77777777" w:rsidR="00587F2A" w:rsidRDefault="00A455FE" w:rsidP="00F13489">
            <w:pPr>
              <w:pStyle w:val="CETBodytext"/>
              <w:ind w:right="-1"/>
              <w:rPr>
                <w:rFonts w:cs="Arial"/>
                <w:szCs w:val="18"/>
                <w:lang w:val="en-GB"/>
              </w:rPr>
            </w:pPr>
            <w:r>
              <w:rPr>
                <w:rFonts w:cs="Arial"/>
                <w:szCs w:val="18"/>
                <w:lang w:val="en-GB"/>
              </w:rPr>
              <w:t>65.3</w:t>
            </w:r>
          </w:p>
          <w:p w14:paraId="1871B6F8" w14:textId="77777777" w:rsidR="00A455FE" w:rsidRDefault="00A455FE" w:rsidP="00F13489">
            <w:pPr>
              <w:pStyle w:val="CETBodytext"/>
              <w:ind w:right="-1"/>
              <w:rPr>
                <w:rFonts w:cs="Arial"/>
                <w:szCs w:val="18"/>
                <w:lang w:val="en-GB"/>
              </w:rPr>
            </w:pPr>
            <w:r>
              <w:rPr>
                <w:rFonts w:cs="Arial"/>
                <w:szCs w:val="18"/>
                <w:lang w:val="en-GB"/>
              </w:rPr>
              <w:t>31.6</w:t>
            </w:r>
          </w:p>
          <w:p w14:paraId="33FD467C" w14:textId="77777777" w:rsidR="00F50DB4" w:rsidRDefault="00654064" w:rsidP="00F13489">
            <w:pPr>
              <w:pStyle w:val="CETBodytext"/>
              <w:ind w:right="-1"/>
              <w:rPr>
                <w:rFonts w:cs="Arial"/>
                <w:szCs w:val="18"/>
                <w:lang w:val="en-GB"/>
              </w:rPr>
            </w:pPr>
            <w:r>
              <w:rPr>
                <w:rFonts w:cs="Arial"/>
                <w:szCs w:val="18"/>
                <w:lang w:val="en-GB"/>
              </w:rPr>
              <w:t>43.0</w:t>
            </w:r>
          </w:p>
          <w:p w14:paraId="155C1E21" w14:textId="77777777" w:rsidR="00654064" w:rsidRDefault="00654064" w:rsidP="00F13489">
            <w:pPr>
              <w:pStyle w:val="CETBodytext"/>
              <w:ind w:right="-1"/>
              <w:rPr>
                <w:rFonts w:cs="Arial"/>
                <w:szCs w:val="18"/>
                <w:lang w:val="en-GB"/>
              </w:rPr>
            </w:pPr>
            <w:r>
              <w:rPr>
                <w:rFonts w:cs="Arial"/>
                <w:szCs w:val="18"/>
                <w:lang w:val="en-GB"/>
              </w:rPr>
              <w:t>18.3</w:t>
            </w:r>
          </w:p>
          <w:p w14:paraId="37C8916B" w14:textId="07C84DAA" w:rsidR="00654064" w:rsidRDefault="00654064" w:rsidP="00F13489">
            <w:pPr>
              <w:pStyle w:val="CETBodytext"/>
              <w:ind w:right="-1"/>
              <w:rPr>
                <w:rFonts w:cs="Arial"/>
                <w:szCs w:val="18"/>
                <w:lang w:val="en-GB"/>
              </w:rPr>
            </w:pPr>
            <w:r>
              <w:rPr>
                <w:rFonts w:cs="Arial"/>
                <w:szCs w:val="18"/>
                <w:lang w:val="en-GB"/>
              </w:rPr>
              <w:t>3.8</w:t>
            </w:r>
          </w:p>
          <w:p w14:paraId="2A58197F" w14:textId="18D3D82C" w:rsidR="00A90356" w:rsidRDefault="00617464" w:rsidP="00F13489">
            <w:pPr>
              <w:pStyle w:val="CETBodytext"/>
              <w:ind w:right="-1"/>
              <w:rPr>
                <w:rFonts w:cs="Arial"/>
                <w:szCs w:val="18"/>
                <w:lang w:val="en-GB"/>
              </w:rPr>
            </w:pPr>
            <w:r>
              <w:rPr>
                <w:rFonts w:cs="Arial"/>
                <w:szCs w:val="18"/>
                <w:lang w:val="en-GB"/>
              </w:rPr>
              <w:t>0.7</w:t>
            </w:r>
          </w:p>
          <w:p w14:paraId="21468C93" w14:textId="090D39BD" w:rsidR="00A90356" w:rsidRDefault="00617464" w:rsidP="00F13489">
            <w:pPr>
              <w:pStyle w:val="CETBodytext"/>
              <w:ind w:right="-1"/>
              <w:rPr>
                <w:rFonts w:cs="Arial"/>
                <w:szCs w:val="18"/>
                <w:lang w:val="en-GB"/>
              </w:rPr>
            </w:pPr>
            <w:r>
              <w:rPr>
                <w:rFonts w:cs="Arial"/>
                <w:szCs w:val="18"/>
                <w:lang w:val="en-GB"/>
              </w:rPr>
              <w:t>87.7</w:t>
            </w:r>
          </w:p>
          <w:p w14:paraId="485EA4F4" w14:textId="11A84518" w:rsidR="00A90356" w:rsidRDefault="00617464" w:rsidP="00F13489">
            <w:pPr>
              <w:pStyle w:val="CETBodytext"/>
              <w:ind w:right="-1"/>
              <w:rPr>
                <w:rFonts w:cs="Arial"/>
                <w:szCs w:val="18"/>
                <w:lang w:val="en-GB"/>
              </w:rPr>
            </w:pPr>
            <w:r>
              <w:rPr>
                <w:rFonts w:cs="Arial"/>
                <w:szCs w:val="18"/>
                <w:lang w:val="en-GB"/>
              </w:rPr>
              <w:t>14.5</w:t>
            </w:r>
          </w:p>
          <w:p w14:paraId="5EE3E9D8" w14:textId="25DD165B" w:rsidR="00A90356" w:rsidRDefault="00617464" w:rsidP="00F13489">
            <w:pPr>
              <w:pStyle w:val="CETBodytext"/>
              <w:ind w:right="-1"/>
              <w:rPr>
                <w:rFonts w:cs="Arial"/>
                <w:szCs w:val="18"/>
                <w:lang w:val="en-GB"/>
              </w:rPr>
            </w:pPr>
            <w:r>
              <w:rPr>
                <w:rFonts w:cs="Arial"/>
                <w:szCs w:val="18"/>
                <w:lang w:val="en-GB"/>
              </w:rPr>
              <w:t>1.2</w:t>
            </w:r>
          </w:p>
          <w:p w14:paraId="256B2FAE" w14:textId="77777777" w:rsidR="00A90356" w:rsidRDefault="00617464" w:rsidP="00F13489">
            <w:pPr>
              <w:pStyle w:val="CETBodytext"/>
              <w:ind w:right="-1"/>
              <w:rPr>
                <w:rFonts w:cs="Arial"/>
                <w:szCs w:val="18"/>
                <w:lang w:val="en-GB"/>
              </w:rPr>
            </w:pPr>
            <w:r>
              <w:rPr>
                <w:rFonts w:cs="Arial"/>
                <w:szCs w:val="18"/>
                <w:lang w:val="en-GB"/>
              </w:rPr>
              <w:t>10.4</w:t>
            </w:r>
          </w:p>
          <w:p w14:paraId="57434FE7" w14:textId="7E8B3728" w:rsidR="00617464" w:rsidRPr="00B57B36" w:rsidRDefault="00617464" w:rsidP="00F13489">
            <w:pPr>
              <w:pStyle w:val="CETBodytext"/>
              <w:ind w:right="-1"/>
              <w:rPr>
                <w:rFonts w:cs="Arial"/>
                <w:szCs w:val="18"/>
                <w:lang w:val="en-GB"/>
              </w:rPr>
            </w:pPr>
            <w:r>
              <w:rPr>
                <w:rFonts w:cs="Arial"/>
                <w:szCs w:val="18"/>
                <w:lang w:val="en-GB"/>
              </w:rPr>
              <w:t>0.2</w:t>
            </w:r>
          </w:p>
        </w:tc>
        <w:tc>
          <w:tcPr>
            <w:tcW w:w="826" w:type="dxa"/>
            <w:shd w:val="clear" w:color="auto" w:fill="FFFFFF"/>
          </w:tcPr>
          <w:p w14:paraId="6474B17A" w14:textId="77777777" w:rsidR="00587F2A" w:rsidRDefault="00A455FE" w:rsidP="00F13489">
            <w:pPr>
              <w:pStyle w:val="CETBodytext"/>
              <w:ind w:right="-1"/>
              <w:rPr>
                <w:rFonts w:cs="Arial"/>
                <w:szCs w:val="18"/>
                <w:lang w:val="en-GB"/>
              </w:rPr>
            </w:pPr>
            <w:r>
              <w:rPr>
                <w:rFonts w:cs="Arial"/>
                <w:szCs w:val="18"/>
                <w:lang w:val="en-GB"/>
              </w:rPr>
              <w:t>103.6</w:t>
            </w:r>
          </w:p>
          <w:p w14:paraId="32A46765" w14:textId="77777777" w:rsidR="00A455FE" w:rsidRDefault="001535C0" w:rsidP="00F13489">
            <w:pPr>
              <w:pStyle w:val="CETBodytext"/>
              <w:ind w:right="-1"/>
              <w:rPr>
                <w:rFonts w:cs="Arial"/>
                <w:szCs w:val="18"/>
                <w:lang w:val="en-GB"/>
              </w:rPr>
            </w:pPr>
            <w:r>
              <w:rPr>
                <w:rFonts w:cs="Arial"/>
                <w:szCs w:val="18"/>
                <w:lang w:val="en-GB"/>
              </w:rPr>
              <w:t>27.5</w:t>
            </w:r>
          </w:p>
          <w:p w14:paraId="0C16F5FC" w14:textId="77777777" w:rsidR="00F50DB4" w:rsidRDefault="00654064" w:rsidP="00F13489">
            <w:pPr>
              <w:pStyle w:val="CETBodytext"/>
              <w:ind w:right="-1"/>
              <w:rPr>
                <w:rFonts w:cs="Arial"/>
                <w:szCs w:val="18"/>
                <w:lang w:val="en-GB"/>
              </w:rPr>
            </w:pPr>
            <w:r>
              <w:rPr>
                <w:rFonts w:cs="Arial"/>
                <w:szCs w:val="18"/>
                <w:lang w:val="en-GB"/>
              </w:rPr>
              <w:t>0.3</w:t>
            </w:r>
          </w:p>
          <w:p w14:paraId="51B32C85" w14:textId="77777777" w:rsidR="00654064" w:rsidRDefault="00654064" w:rsidP="00F13489">
            <w:pPr>
              <w:pStyle w:val="CETBodytext"/>
              <w:ind w:right="-1"/>
              <w:rPr>
                <w:rFonts w:cs="Arial"/>
                <w:szCs w:val="18"/>
                <w:lang w:val="en-GB"/>
              </w:rPr>
            </w:pPr>
            <w:r>
              <w:rPr>
                <w:rFonts w:cs="Arial"/>
                <w:szCs w:val="18"/>
                <w:lang w:val="en-GB"/>
              </w:rPr>
              <w:t>25.4</w:t>
            </w:r>
          </w:p>
          <w:p w14:paraId="3E95AD34" w14:textId="4155B555" w:rsidR="00654064" w:rsidRDefault="00654064" w:rsidP="00F13489">
            <w:pPr>
              <w:pStyle w:val="CETBodytext"/>
              <w:ind w:right="-1"/>
              <w:rPr>
                <w:rFonts w:cs="Arial"/>
                <w:szCs w:val="18"/>
                <w:lang w:val="en-GB"/>
              </w:rPr>
            </w:pPr>
            <w:r>
              <w:rPr>
                <w:rFonts w:cs="Arial"/>
                <w:szCs w:val="18"/>
                <w:lang w:val="en-GB"/>
              </w:rPr>
              <w:t>47.3</w:t>
            </w:r>
          </w:p>
          <w:p w14:paraId="101A6728" w14:textId="3D9B53A5" w:rsidR="00A90356" w:rsidRDefault="00617464" w:rsidP="00F13489">
            <w:pPr>
              <w:pStyle w:val="CETBodytext"/>
              <w:ind w:right="-1"/>
              <w:rPr>
                <w:rFonts w:cs="Arial"/>
                <w:szCs w:val="18"/>
                <w:lang w:val="en-GB"/>
              </w:rPr>
            </w:pPr>
            <w:r>
              <w:rPr>
                <w:rFonts w:cs="Arial"/>
                <w:szCs w:val="18"/>
                <w:lang w:val="en-GB"/>
              </w:rPr>
              <w:t>5.0</w:t>
            </w:r>
          </w:p>
          <w:p w14:paraId="343779D2" w14:textId="50DE85EF" w:rsidR="00A90356" w:rsidRDefault="00617464" w:rsidP="00F13489">
            <w:pPr>
              <w:pStyle w:val="CETBodytext"/>
              <w:ind w:right="-1"/>
              <w:rPr>
                <w:rFonts w:cs="Arial"/>
                <w:szCs w:val="18"/>
                <w:lang w:val="en-GB"/>
              </w:rPr>
            </w:pPr>
            <w:r>
              <w:rPr>
                <w:rFonts w:cs="Arial"/>
                <w:szCs w:val="18"/>
                <w:lang w:val="en-GB"/>
              </w:rPr>
              <w:t>23.6</w:t>
            </w:r>
          </w:p>
          <w:p w14:paraId="478E41EE" w14:textId="57D3D8B9" w:rsidR="00A90356" w:rsidRDefault="00617464" w:rsidP="00F13489">
            <w:pPr>
              <w:pStyle w:val="CETBodytext"/>
              <w:ind w:right="-1"/>
              <w:rPr>
                <w:rFonts w:cs="Arial"/>
                <w:szCs w:val="18"/>
                <w:lang w:val="en-GB"/>
              </w:rPr>
            </w:pPr>
            <w:r>
              <w:rPr>
                <w:rFonts w:cs="Arial"/>
                <w:szCs w:val="18"/>
                <w:lang w:val="en-GB"/>
              </w:rPr>
              <w:t>10.6</w:t>
            </w:r>
          </w:p>
          <w:p w14:paraId="5955B09A" w14:textId="77777777" w:rsidR="00A90356" w:rsidRDefault="00617464" w:rsidP="00F13489">
            <w:pPr>
              <w:pStyle w:val="CETBodytext"/>
              <w:ind w:right="-1"/>
              <w:rPr>
                <w:rFonts w:cs="Arial"/>
                <w:szCs w:val="18"/>
                <w:lang w:val="en-GB"/>
              </w:rPr>
            </w:pPr>
            <w:r>
              <w:rPr>
                <w:rFonts w:cs="Arial"/>
                <w:szCs w:val="18"/>
                <w:lang w:val="en-GB"/>
              </w:rPr>
              <w:t>23.9</w:t>
            </w:r>
          </w:p>
          <w:p w14:paraId="2DB997F0" w14:textId="77777777" w:rsidR="00617464" w:rsidRDefault="00617464" w:rsidP="00F13489">
            <w:pPr>
              <w:pStyle w:val="CETBodytext"/>
              <w:ind w:right="-1"/>
              <w:rPr>
                <w:rFonts w:cs="Arial"/>
                <w:szCs w:val="18"/>
                <w:lang w:val="en-GB"/>
              </w:rPr>
            </w:pPr>
            <w:r>
              <w:rPr>
                <w:rFonts w:cs="Arial"/>
                <w:szCs w:val="18"/>
                <w:lang w:val="en-GB"/>
              </w:rPr>
              <w:t>14.9</w:t>
            </w:r>
          </w:p>
          <w:p w14:paraId="4C5D474E" w14:textId="57E2FC9D" w:rsidR="00617464" w:rsidRPr="00B57B36" w:rsidRDefault="00617464" w:rsidP="00F13489">
            <w:pPr>
              <w:pStyle w:val="CETBodytext"/>
              <w:ind w:right="-1"/>
              <w:rPr>
                <w:rFonts w:cs="Arial"/>
                <w:szCs w:val="18"/>
                <w:lang w:val="en-GB"/>
              </w:rPr>
            </w:pPr>
            <w:r>
              <w:rPr>
                <w:rFonts w:cs="Arial"/>
                <w:szCs w:val="18"/>
                <w:lang w:val="en-GB"/>
              </w:rPr>
              <w:t>2.8</w:t>
            </w:r>
          </w:p>
        </w:tc>
        <w:tc>
          <w:tcPr>
            <w:tcW w:w="826" w:type="dxa"/>
            <w:shd w:val="clear" w:color="auto" w:fill="FFFFFF"/>
          </w:tcPr>
          <w:p w14:paraId="318554E0" w14:textId="77777777" w:rsidR="00587F2A" w:rsidRPr="00B57B36" w:rsidRDefault="00587F2A" w:rsidP="00F13489">
            <w:pPr>
              <w:pStyle w:val="CETBodytext"/>
              <w:ind w:right="-1"/>
              <w:rPr>
                <w:rFonts w:cs="Arial"/>
                <w:szCs w:val="18"/>
                <w:lang w:val="en-GB"/>
              </w:rPr>
            </w:pPr>
          </w:p>
        </w:tc>
        <w:tc>
          <w:tcPr>
            <w:tcW w:w="826" w:type="dxa"/>
            <w:shd w:val="clear" w:color="auto" w:fill="FFFFFF"/>
          </w:tcPr>
          <w:p w14:paraId="0F671657" w14:textId="15A92765" w:rsidR="00587F2A" w:rsidRDefault="00A455FE" w:rsidP="00F13489">
            <w:pPr>
              <w:pStyle w:val="CETBodytext"/>
              <w:ind w:right="-1"/>
              <w:rPr>
                <w:rFonts w:cs="Arial"/>
                <w:szCs w:val="18"/>
                <w:lang w:val="en-GB"/>
              </w:rPr>
            </w:pPr>
            <w:r>
              <w:rPr>
                <w:rFonts w:cs="Arial"/>
                <w:szCs w:val="18"/>
                <w:lang w:val="en-GB"/>
              </w:rPr>
              <w:t>2</w:t>
            </w:r>
            <w:r w:rsidR="00C3570C">
              <w:rPr>
                <w:rFonts w:cs="Arial"/>
                <w:szCs w:val="18"/>
                <w:lang w:val="en-GB"/>
              </w:rPr>
              <w:t>,</w:t>
            </w:r>
            <w:r>
              <w:rPr>
                <w:rFonts w:cs="Arial"/>
                <w:szCs w:val="18"/>
                <w:lang w:val="en-GB"/>
              </w:rPr>
              <w:t>300.6</w:t>
            </w:r>
          </w:p>
          <w:p w14:paraId="11DCEFDB" w14:textId="77777777" w:rsidR="00A455FE" w:rsidRDefault="001535C0" w:rsidP="00F13489">
            <w:pPr>
              <w:pStyle w:val="CETBodytext"/>
              <w:ind w:right="-1"/>
              <w:rPr>
                <w:rFonts w:cs="Arial"/>
                <w:szCs w:val="18"/>
                <w:lang w:val="en-GB"/>
              </w:rPr>
            </w:pPr>
            <w:r>
              <w:rPr>
                <w:rFonts w:cs="Arial"/>
                <w:szCs w:val="18"/>
                <w:lang w:val="en-GB"/>
              </w:rPr>
              <w:t>809.1</w:t>
            </w:r>
          </w:p>
          <w:p w14:paraId="7D159396" w14:textId="77777777" w:rsidR="00F50DB4" w:rsidRDefault="00654064" w:rsidP="00F13489">
            <w:pPr>
              <w:pStyle w:val="CETBodytext"/>
              <w:ind w:right="-1"/>
              <w:rPr>
                <w:rFonts w:cs="Arial"/>
                <w:szCs w:val="18"/>
                <w:lang w:val="en-GB"/>
              </w:rPr>
            </w:pPr>
            <w:r>
              <w:rPr>
                <w:rFonts w:cs="Arial"/>
                <w:szCs w:val="18"/>
                <w:lang w:val="en-GB"/>
              </w:rPr>
              <w:t>720.7</w:t>
            </w:r>
          </w:p>
          <w:p w14:paraId="7FB53048" w14:textId="77777777" w:rsidR="00654064" w:rsidRDefault="00654064" w:rsidP="00F13489">
            <w:pPr>
              <w:pStyle w:val="CETBodytext"/>
              <w:ind w:right="-1"/>
              <w:rPr>
                <w:rFonts w:cs="Arial"/>
                <w:szCs w:val="18"/>
                <w:lang w:val="en-GB"/>
              </w:rPr>
            </w:pPr>
            <w:r>
              <w:rPr>
                <w:rFonts w:cs="Arial"/>
                <w:szCs w:val="18"/>
                <w:lang w:val="en-GB"/>
              </w:rPr>
              <w:t>454.2</w:t>
            </w:r>
          </w:p>
          <w:p w14:paraId="53A85A91" w14:textId="77777777" w:rsidR="00654064" w:rsidRDefault="00654064" w:rsidP="00F13489">
            <w:pPr>
              <w:pStyle w:val="CETBodytext"/>
              <w:ind w:right="-1"/>
              <w:rPr>
                <w:rFonts w:cs="Arial"/>
                <w:szCs w:val="18"/>
                <w:lang w:val="en-GB"/>
              </w:rPr>
            </w:pPr>
            <w:r>
              <w:rPr>
                <w:rFonts w:cs="Arial"/>
                <w:szCs w:val="18"/>
                <w:lang w:val="en-GB"/>
              </w:rPr>
              <w:t>323.8</w:t>
            </w:r>
          </w:p>
          <w:p w14:paraId="73426152" w14:textId="05515042" w:rsidR="00654064" w:rsidRDefault="00617464" w:rsidP="00F13489">
            <w:pPr>
              <w:pStyle w:val="CETBodytext"/>
              <w:ind w:right="-1"/>
              <w:rPr>
                <w:rFonts w:cs="Arial"/>
                <w:szCs w:val="18"/>
                <w:lang w:val="en-GB"/>
              </w:rPr>
            </w:pPr>
            <w:r>
              <w:rPr>
                <w:rFonts w:cs="Arial"/>
                <w:szCs w:val="18"/>
                <w:lang w:val="en-GB"/>
              </w:rPr>
              <w:t>301.1</w:t>
            </w:r>
          </w:p>
          <w:p w14:paraId="118F4BA5" w14:textId="470BB521" w:rsidR="00A90356" w:rsidRDefault="00617464" w:rsidP="00F13489">
            <w:pPr>
              <w:pStyle w:val="CETBodytext"/>
              <w:ind w:right="-1"/>
              <w:rPr>
                <w:rFonts w:cs="Arial"/>
                <w:szCs w:val="18"/>
                <w:lang w:val="en-GB"/>
              </w:rPr>
            </w:pPr>
            <w:r>
              <w:rPr>
                <w:rFonts w:cs="Arial"/>
                <w:szCs w:val="18"/>
                <w:lang w:val="en-GB"/>
              </w:rPr>
              <w:t>297.5</w:t>
            </w:r>
          </w:p>
          <w:p w14:paraId="62F5B908" w14:textId="6C4EC135" w:rsidR="00A90356" w:rsidRDefault="00617464" w:rsidP="00F13489">
            <w:pPr>
              <w:pStyle w:val="CETBodytext"/>
              <w:ind w:right="-1"/>
              <w:rPr>
                <w:rFonts w:cs="Arial"/>
                <w:szCs w:val="18"/>
                <w:lang w:val="en-GB"/>
              </w:rPr>
            </w:pPr>
            <w:r>
              <w:rPr>
                <w:rFonts w:cs="Arial"/>
                <w:szCs w:val="18"/>
                <w:lang w:val="en-GB"/>
              </w:rPr>
              <w:t>242.6</w:t>
            </w:r>
          </w:p>
          <w:p w14:paraId="2628AF6D" w14:textId="77777777" w:rsidR="00A90356" w:rsidRDefault="00617464" w:rsidP="00F13489">
            <w:pPr>
              <w:pStyle w:val="CETBodytext"/>
              <w:ind w:right="-1"/>
              <w:rPr>
                <w:rFonts w:cs="Arial"/>
                <w:szCs w:val="18"/>
                <w:lang w:val="en-GB"/>
              </w:rPr>
            </w:pPr>
            <w:r>
              <w:rPr>
                <w:rFonts w:cs="Arial"/>
                <w:szCs w:val="18"/>
                <w:lang w:val="en-GB"/>
              </w:rPr>
              <w:t>192.2</w:t>
            </w:r>
          </w:p>
          <w:p w14:paraId="565DDC52" w14:textId="013A2394" w:rsidR="00617464" w:rsidRDefault="00617464" w:rsidP="00F13489">
            <w:pPr>
              <w:pStyle w:val="CETBodytext"/>
              <w:ind w:right="-1"/>
              <w:rPr>
                <w:rFonts w:cs="Arial"/>
                <w:szCs w:val="18"/>
                <w:lang w:val="en-GB"/>
              </w:rPr>
            </w:pPr>
            <w:r>
              <w:rPr>
                <w:rFonts w:cs="Arial"/>
                <w:szCs w:val="18"/>
                <w:lang w:val="en-GB"/>
              </w:rPr>
              <w:t>154.5</w:t>
            </w:r>
          </w:p>
          <w:p w14:paraId="6315F189" w14:textId="6D18A8C4" w:rsidR="00617464" w:rsidRPr="00B57B36" w:rsidRDefault="00617464" w:rsidP="00F13489">
            <w:pPr>
              <w:pStyle w:val="CETBodytext"/>
              <w:ind w:right="-1"/>
              <w:rPr>
                <w:rFonts w:cs="Arial"/>
                <w:szCs w:val="18"/>
                <w:lang w:val="en-GB"/>
              </w:rPr>
            </w:pPr>
            <w:r>
              <w:rPr>
                <w:rFonts w:cs="Arial"/>
                <w:szCs w:val="18"/>
                <w:lang w:val="en-GB"/>
              </w:rPr>
              <w:t>121.6</w:t>
            </w:r>
          </w:p>
        </w:tc>
        <w:tc>
          <w:tcPr>
            <w:tcW w:w="826" w:type="dxa"/>
            <w:shd w:val="clear" w:color="auto" w:fill="FFFFFF"/>
          </w:tcPr>
          <w:p w14:paraId="5BDFFEA4" w14:textId="77777777" w:rsidR="00587F2A" w:rsidRPr="00B57B36" w:rsidRDefault="00587F2A" w:rsidP="00F13489">
            <w:pPr>
              <w:pStyle w:val="CETBodytext"/>
              <w:ind w:right="-1"/>
              <w:rPr>
                <w:rFonts w:cs="Arial"/>
                <w:szCs w:val="18"/>
                <w:lang w:val="en-GB"/>
              </w:rPr>
            </w:pPr>
          </w:p>
        </w:tc>
      </w:tr>
    </w:tbl>
    <w:p w14:paraId="2079E9B7" w14:textId="2B95351B" w:rsidR="00574DA0" w:rsidRDefault="001535C0" w:rsidP="00574DA0">
      <w:pPr>
        <w:pStyle w:val="CETBodytext"/>
        <w:rPr>
          <w:lang w:val="en-GB"/>
        </w:rPr>
      </w:pPr>
      <w:r>
        <w:rPr>
          <w:lang w:val="en-GB"/>
        </w:rPr>
        <w:t xml:space="preserve"> </w:t>
      </w:r>
    </w:p>
    <w:bookmarkEnd w:id="2"/>
    <w:p w14:paraId="2785534E" w14:textId="561812D3" w:rsidR="00932B7C" w:rsidRDefault="00014B5E" w:rsidP="00600535">
      <w:pPr>
        <w:pStyle w:val="CETBodytext"/>
        <w:rPr>
          <w:lang w:val="en-GB"/>
        </w:rPr>
      </w:pPr>
      <w:r>
        <w:rPr>
          <w:lang w:val="en-GB"/>
        </w:rPr>
        <w:t xml:space="preserve">South Africa’s indigenous energy-resource base continuous to be dominated by coal and the country’s dependency on coal-based energy is unlikely to change significantly in the next two decades </w:t>
      </w:r>
      <w:bookmarkStart w:id="3" w:name="_Hlk102340782"/>
      <w:r>
        <w:rPr>
          <w:lang w:val="en-GB"/>
        </w:rPr>
        <w:t>(</w:t>
      </w:r>
      <w:proofErr w:type="spellStart"/>
      <w:r>
        <w:rPr>
          <w:lang w:val="en-GB"/>
        </w:rPr>
        <w:t>Ratshomo</w:t>
      </w:r>
      <w:proofErr w:type="spellEnd"/>
      <w:r>
        <w:rPr>
          <w:lang w:val="en-GB"/>
        </w:rPr>
        <w:t xml:space="preserve"> and </w:t>
      </w:r>
      <w:proofErr w:type="spellStart"/>
      <w:r>
        <w:rPr>
          <w:lang w:val="en-GB"/>
        </w:rPr>
        <w:t>Nembahe</w:t>
      </w:r>
      <w:proofErr w:type="spellEnd"/>
      <w:r>
        <w:rPr>
          <w:lang w:val="en-GB"/>
        </w:rPr>
        <w:t>, 2021)</w:t>
      </w:r>
      <w:bookmarkEnd w:id="3"/>
      <w:r>
        <w:rPr>
          <w:lang w:val="en-GB"/>
        </w:rPr>
        <w:t>.</w:t>
      </w:r>
      <w:r w:rsidR="00AB3E27">
        <w:rPr>
          <w:lang w:val="en-GB"/>
        </w:rPr>
        <w:t xml:space="preserve"> </w:t>
      </w:r>
      <w:r w:rsidR="00C12796">
        <w:rPr>
          <w:lang w:val="en-GB"/>
        </w:rPr>
        <w:t xml:space="preserve">Globally, </w:t>
      </w:r>
      <w:r w:rsidR="00932B7C">
        <w:rPr>
          <w:lang w:val="en-GB"/>
        </w:rPr>
        <w:t>South Africa was the 7</w:t>
      </w:r>
      <w:r w:rsidR="00932B7C" w:rsidRPr="00932B7C">
        <w:rPr>
          <w:vertAlign w:val="superscript"/>
          <w:lang w:val="en-GB"/>
        </w:rPr>
        <w:t>th</w:t>
      </w:r>
      <w:r w:rsidR="00932B7C">
        <w:rPr>
          <w:lang w:val="en-GB"/>
        </w:rPr>
        <w:t xml:space="preserve"> biggest consumer of coal in 2018, with 86 </w:t>
      </w:r>
      <w:r w:rsidR="00C030CF">
        <w:rPr>
          <w:rFonts w:cs="Arial"/>
        </w:rPr>
        <w:t>×</w:t>
      </w:r>
      <w:r w:rsidR="00C030CF">
        <w:t xml:space="preserve"> 10</w:t>
      </w:r>
      <w:r w:rsidR="00C030CF">
        <w:rPr>
          <w:vertAlign w:val="superscript"/>
        </w:rPr>
        <w:t>6</w:t>
      </w:r>
      <w:r w:rsidR="00C030CF">
        <w:t xml:space="preserve"> t</w:t>
      </w:r>
      <w:r w:rsidR="00C030CF">
        <w:rPr>
          <w:lang w:val="en-GB"/>
        </w:rPr>
        <w:t xml:space="preserve"> </w:t>
      </w:r>
      <w:r w:rsidR="00932B7C">
        <w:rPr>
          <w:lang w:val="en-GB"/>
        </w:rPr>
        <w:t xml:space="preserve">oil equivalent, while in 2008, South Africa consumed 93.3 </w:t>
      </w:r>
      <w:r w:rsidR="00C030CF">
        <w:rPr>
          <w:rFonts w:cs="Arial"/>
        </w:rPr>
        <w:t>×</w:t>
      </w:r>
      <w:r w:rsidR="00C030CF">
        <w:t xml:space="preserve"> 10</w:t>
      </w:r>
      <w:r w:rsidR="00C030CF">
        <w:rPr>
          <w:vertAlign w:val="superscript"/>
        </w:rPr>
        <w:t>6</w:t>
      </w:r>
      <w:r w:rsidR="00C030CF">
        <w:t xml:space="preserve"> t</w:t>
      </w:r>
      <w:r w:rsidR="00C030CF">
        <w:rPr>
          <w:lang w:val="en-GB"/>
        </w:rPr>
        <w:t xml:space="preserve"> </w:t>
      </w:r>
      <w:r w:rsidR="00932B7C">
        <w:rPr>
          <w:lang w:val="en-GB"/>
        </w:rPr>
        <w:t>oil equivalent. South African coal reserves ranked 12</w:t>
      </w:r>
      <w:r w:rsidR="00932B7C" w:rsidRPr="00932B7C">
        <w:rPr>
          <w:vertAlign w:val="superscript"/>
          <w:lang w:val="en-GB"/>
        </w:rPr>
        <w:t>th</w:t>
      </w:r>
      <w:r w:rsidR="00932B7C">
        <w:rPr>
          <w:lang w:val="en-GB"/>
        </w:rPr>
        <w:t xml:space="preserve"> in 2018, with reserves </w:t>
      </w:r>
      <w:r w:rsidR="005234FC">
        <w:rPr>
          <w:lang w:val="en-GB"/>
        </w:rPr>
        <w:t>of 9</w:t>
      </w:r>
      <w:r w:rsidR="00C030CF">
        <w:rPr>
          <w:lang w:val="en-GB"/>
        </w:rPr>
        <w:t>,</w:t>
      </w:r>
      <w:r w:rsidR="005234FC">
        <w:rPr>
          <w:lang w:val="en-GB"/>
        </w:rPr>
        <w:t xml:space="preserve">893 </w:t>
      </w:r>
      <w:bookmarkStart w:id="4" w:name="_Hlk107466099"/>
      <w:r w:rsidR="00C030CF">
        <w:rPr>
          <w:rFonts w:cs="Arial"/>
        </w:rPr>
        <w:t>×</w:t>
      </w:r>
      <w:r w:rsidR="00C030CF">
        <w:t xml:space="preserve"> 10</w:t>
      </w:r>
      <w:r w:rsidR="00C030CF">
        <w:rPr>
          <w:vertAlign w:val="superscript"/>
        </w:rPr>
        <w:t>6</w:t>
      </w:r>
      <w:r w:rsidR="00C030CF">
        <w:t xml:space="preserve"> t</w:t>
      </w:r>
      <w:bookmarkEnd w:id="4"/>
      <w:r w:rsidR="005234FC">
        <w:rPr>
          <w:lang w:val="en-GB"/>
        </w:rPr>
        <w:t>. China was the biggest consumer of coal in 2018, with 1</w:t>
      </w:r>
      <w:r w:rsidR="00C030CF">
        <w:rPr>
          <w:lang w:val="en-GB"/>
        </w:rPr>
        <w:t>,</w:t>
      </w:r>
      <w:r w:rsidR="005234FC">
        <w:rPr>
          <w:lang w:val="en-GB"/>
        </w:rPr>
        <w:t xml:space="preserve">906.7 </w:t>
      </w:r>
      <w:r w:rsidR="00C030CF">
        <w:rPr>
          <w:rFonts w:cs="Arial"/>
        </w:rPr>
        <w:t>×</w:t>
      </w:r>
      <w:r w:rsidR="00C030CF">
        <w:t xml:space="preserve"> 10</w:t>
      </w:r>
      <w:r w:rsidR="00C030CF">
        <w:rPr>
          <w:vertAlign w:val="superscript"/>
        </w:rPr>
        <w:t>6</w:t>
      </w:r>
      <w:r w:rsidR="00C030CF">
        <w:t xml:space="preserve"> t</w:t>
      </w:r>
      <w:r w:rsidR="005234FC">
        <w:rPr>
          <w:lang w:val="en-GB"/>
        </w:rPr>
        <w:t xml:space="preserve"> oil equivalent, followed by India with a consumption of 452.2 </w:t>
      </w:r>
      <w:r w:rsidR="00C030CF">
        <w:rPr>
          <w:rFonts w:cs="Arial"/>
        </w:rPr>
        <w:t>×</w:t>
      </w:r>
      <w:r w:rsidR="00C030CF">
        <w:t xml:space="preserve"> 10</w:t>
      </w:r>
      <w:r w:rsidR="00C030CF">
        <w:rPr>
          <w:vertAlign w:val="superscript"/>
        </w:rPr>
        <w:t>6</w:t>
      </w:r>
      <w:r w:rsidR="00C030CF">
        <w:t xml:space="preserve"> t</w:t>
      </w:r>
      <w:r w:rsidR="00C030CF">
        <w:rPr>
          <w:lang w:val="en-GB"/>
        </w:rPr>
        <w:t xml:space="preserve"> </w:t>
      </w:r>
      <w:r w:rsidR="005234FC">
        <w:rPr>
          <w:lang w:val="en-GB"/>
        </w:rPr>
        <w:t>oil equivalent (BP, 2019).</w:t>
      </w:r>
    </w:p>
    <w:p w14:paraId="44245BC7" w14:textId="7AF6DE35" w:rsidR="00C227AA" w:rsidRDefault="00712747" w:rsidP="00600535">
      <w:pPr>
        <w:pStyle w:val="CETBodytext"/>
        <w:rPr>
          <w:lang w:val="en-GB"/>
        </w:rPr>
      </w:pPr>
      <w:r>
        <w:rPr>
          <w:lang w:val="en-GB"/>
        </w:rPr>
        <w:t>South Africa has the 3</w:t>
      </w:r>
      <w:r w:rsidRPr="00712747">
        <w:rPr>
          <w:vertAlign w:val="superscript"/>
          <w:lang w:val="en-GB"/>
        </w:rPr>
        <w:t>rd</w:t>
      </w:r>
      <w:r>
        <w:rPr>
          <w:lang w:val="en-GB"/>
        </w:rPr>
        <w:t xml:space="preserve"> largest oil refining capacity in Africa amounting to</w:t>
      </w:r>
      <w:r w:rsidR="007E5B68">
        <w:rPr>
          <w:lang w:val="en-GB"/>
        </w:rPr>
        <w:t xml:space="preserve"> 3,451.8 </w:t>
      </w:r>
      <w:bookmarkStart w:id="5" w:name="_Hlk108458835"/>
      <w:r w:rsidR="007E5B68">
        <w:rPr>
          <w:lang w:val="en-GB"/>
        </w:rPr>
        <w:t>m</w:t>
      </w:r>
      <w:r w:rsidR="007E5B68" w:rsidRPr="007E5B68">
        <w:rPr>
          <w:vertAlign w:val="superscript"/>
          <w:lang w:val="en-GB"/>
        </w:rPr>
        <w:t>3</w:t>
      </w:r>
      <w:r w:rsidR="007E5B68">
        <w:rPr>
          <w:lang w:val="en-GB"/>
        </w:rPr>
        <w:t>/h</w:t>
      </w:r>
      <w:bookmarkEnd w:id="5"/>
      <w:r>
        <w:rPr>
          <w:lang w:val="en-GB"/>
        </w:rPr>
        <w:t xml:space="preserve">. By adding synthetic fuels production, including </w:t>
      </w:r>
      <w:r w:rsidR="007E5B68">
        <w:rPr>
          <w:lang w:val="en-GB"/>
        </w:rPr>
        <w:t xml:space="preserve">990 </w:t>
      </w:r>
      <w:r w:rsidR="007E5B68">
        <w:rPr>
          <w:lang w:val="en-GB"/>
        </w:rPr>
        <w:t>m</w:t>
      </w:r>
      <w:r w:rsidR="007E5B68" w:rsidRPr="007E5B68">
        <w:rPr>
          <w:vertAlign w:val="superscript"/>
          <w:lang w:val="en-GB"/>
        </w:rPr>
        <w:t>3</w:t>
      </w:r>
      <w:r w:rsidR="007E5B68">
        <w:rPr>
          <w:lang w:val="en-GB"/>
        </w:rPr>
        <w:t>/h</w:t>
      </w:r>
      <w:r>
        <w:rPr>
          <w:lang w:val="en-GB"/>
        </w:rPr>
        <w:t xml:space="preserve"> Sasol CTL (Coal </w:t>
      </w:r>
      <w:proofErr w:type="gramStart"/>
      <w:r>
        <w:rPr>
          <w:lang w:val="en-GB"/>
        </w:rPr>
        <w:t>To</w:t>
      </w:r>
      <w:proofErr w:type="gramEnd"/>
      <w:r>
        <w:rPr>
          <w:lang w:val="en-GB"/>
        </w:rPr>
        <w:t xml:space="preserve"> Liquids) plants and </w:t>
      </w:r>
      <w:r w:rsidR="007E5B68">
        <w:rPr>
          <w:lang w:val="en-GB"/>
        </w:rPr>
        <w:t xml:space="preserve">297 </w:t>
      </w:r>
      <w:r w:rsidR="007E5B68">
        <w:rPr>
          <w:lang w:val="en-GB"/>
        </w:rPr>
        <w:t>m</w:t>
      </w:r>
      <w:r w:rsidR="007E5B68" w:rsidRPr="007E5B68">
        <w:rPr>
          <w:vertAlign w:val="superscript"/>
          <w:lang w:val="en-GB"/>
        </w:rPr>
        <w:t>3</w:t>
      </w:r>
      <w:r w:rsidR="007E5B68">
        <w:rPr>
          <w:lang w:val="en-GB"/>
        </w:rPr>
        <w:t>/h</w:t>
      </w:r>
      <w:r>
        <w:rPr>
          <w:lang w:val="en-GB"/>
        </w:rPr>
        <w:t xml:space="preserve"> </w:t>
      </w:r>
      <w:proofErr w:type="spellStart"/>
      <w:r>
        <w:rPr>
          <w:lang w:val="en-GB"/>
        </w:rPr>
        <w:t>PetroSA</w:t>
      </w:r>
      <w:proofErr w:type="spellEnd"/>
      <w:r>
        <w:rPr>
          <w:lang w:val="en-GB"/>
        </w:rPr>
        <w:t xml:space="preserve"> GTL (Gas To Liquids) plant</w:t>
      </w:r>
      <w:r w:rsidR="00913BE3">
        <w:rPr>
          <w:lang w:val="en-GB"/>
        </w:rPr>
        <w:t>, South Africa will be the second largest refiner in Africa (SAPIA, 201</w:t>
      </w:r>
      <w:r w:rsidR="00FB7856">
        <w:rPr>
          <w:lang w:val="en-GB"/>
        </w:rPr>
        <w:t>9</w:t>
      </w:r>
      <w:r w:rsidR="00913BE3">
        <w:rPr>
          <w:lang w:val="en-GB"/>
        </w:rPr>
        <w:t>).</w:t>
      </w:r>
      <w:r w:rsidR="005C63A5">
        <w:rPr>
          <w:lang w:val="en-GB"/>
        </w:rPr>
        <w:t xml:space="preserve"> </w:t>
      </w:r>
      <w:r w:rsidR="00913BE3">
        <w:rPr>
          <w:lang w:val="en-GB"/>
        </w:rPr>
        <w:t>Owing to the lack of reserves, South Africa import</w:t>
      </w:r>
      <w:r w:rsidR="00B4288E">
        <w:rPr>
          <w:lang w:val="en-GB"/>
        </w:rPr>
        <w:t>s</w:t>
      </w:r>
      <w:r w:rsidR="00913BE3">
        <w:rPr>
          <w:lang w:val="en-GB"/>
        </w:rPr>
        <w:t xml:space="preserve"> all </w:t>
      </w:r>
      <w:r w:rsidR="00B4288E">
        <w:rPr>
          <w:lang w:val="en-GB"/>
        </w:rPr>
        <w:t>its</w:t>
      </w:r>
      <w:r w:rsidR="00913BE3">
        <w:rPr>
          <w:lang w:val="en-GB"/>
        </w:rPr>
        <w:t xml:space="preserve"> crude oil. In 2018, Saudi Arabia supplied 43</w:t>
      </w:r>
      <w:r w:rsidR="00C70B7A">
        <w:rPr>
          <w:lang w:val="en-GB"/>
        </w:rPr>
        <w:t xml:space="preserve"> </w:t>
      </w:r>
      <w:r w:rsidR="00913BE3">
        <w:rPr>
          <w:lang w:val="en-GB"/>
        </w:rPr>
        <w:t>% of South African crude oil requirements, followed by Nigeria (33</w:t>
      </w:r>
      <w:r w:rsidR="00C70B7A">
        <w:rPr>
          <w:lang w:val="en-GB"/>
        </w:rPr>
        <w:t xml:space="preserve"> </w:t>
      </w:r>
      <w:r w:rsidR="00913BE3">
        <w:rPr>
          <w:lang w:val="en-GB"/>
        </w:rPr>
        <w:t>%) and Angola (12</w:t>
      </w:r>
      <w:r w:rsidR="00C70B7A">
        <w:rPr>
          <w:lang w:val="en-GB"/>
        </w:rPr>
        <w:t xml:space="preserve"> </w:t>
      </w:r>
      <w:r w:rsidR="00913BE3">
        <w:rPr>
          <w:lang w:val="en-GB"/>
        </w:rPr>
        <w:t xml:space="preserve">%). </w:t>
      </w:r>
      <w:r w:rsidR="00C227AA">
        <w:rPr>
          <w:lang w:val="en-GB"/>
        </w:rPr>
        <w:t>Ghana and United Arab Emirates supplied 5</w:t>
      </w:r>
      <w:r w:rsidR="00C70B7A">
        <w:rPr>
          <w:lang w:val="en-GB"/>
        </w:rPr>
        <w:t xml:space="preserve"> </w:t>
      </w:r>
      <w:r w:rsidR="00C227AA">
        <w:rPr>
          <w:lang w:val="en-GB"/>
        </w:rPr>
        <w:t>% each, while Togo supplied 1</w:t>
      </w:r>
      <w:r w:rsidR="00C70B7A">
        <w:rPr>
          <w:lang w:val="en-GB"/>
        </w:rPr>
        <w:t xml:space="preserve"> </w:t>
      </w:r>
      <w:r w:rsidR="00C227AA">
        <w:rPr>
          <w:lang w:val="en-GB"/>
        </w:rPr>
        <w:t xml:space="preserve">% </w:t>
      </w:r>
      <w:r w:rsidR="00FB7856">
        <w:rPr>
          <w:lang w:val="en-GB"/>
        </w:rPr>
        <w:t>(</w:t>
      </w:r>
      <w:proofErr w:type="spellStart"/>
      <w:r w:rsidR="00FB7856">
        <w:rPr>
          <w:lang w:val="en-GB"/>
        </w:rPr>
        <w:t>Ratshomo</w:t>
      </w:r>
      <w:proofErr w:type="spellEnd"/>
      <w:r w:rsidR="00FB7856">
        <w:rPr>
          <w:lang w:val="en-GB"/>
        </w:rPr>
        <w:t xml:space="preserve"> and </w:t>
      </w:r>
      <w:proofErr w:type="spellStart"/>
      <w:r w:rsidR="00FB7856">
        <w:rPr>
          <w:lang w:val="en-GB"/>
        </w:rPr>
        <w:t>Nembahe</w:t>
      </w:r>
      <w:proofErr w:type="spellEnd"/>
      <w:r w:rsidR="00FB7856">
        <w:rPr>
          <w:lang w:val="en-GB"/>
        </w:rPr>
        <w:t>, 2021)</w:t>
      </w:r>
      <w:r w:rsidR="00C227AA">
        <w:rPr>
          <w:lang w:val="en-GB"/>
        </w:rPr>
        <w:t xml:space="preserve">. </w:t>
      </w:r>
    </w:p>
    <w:p w14:paraId="3D63987C" w14:textId="2C76E69E" w:rsidR="00E5658A" w:rsidRDefault="007D74F3" w:rsidP="00600535">
      <w:pPr>
        <w:pStyle w:val="CETBodytext"/>
        <w:rPr>
          <w:lang w:val="en-GB"/>
        </w:rPr>
      </w:pPr>
      <w:bookmarkStart w:id="6" w:name="_Hlk101481727"/>
      <w:r>
        <w:rPr>
          <w:lang w:val="en-GB"/>
        </w:rPr>
        <w:t>In 2018, natural gas made up 3</w:t>
      </w:r>
      <w:r w:rsidR="00C950AC">
        <w:rPr>
          <w:lang w:val="en-GB"/>
        </w:rPr>
        <w:t xml:space="preserve"> </w:t>
      </w:r>
      <w:r>
        <w:rPr>
          <w:lang w:val="en-GB"/>
        </w:rPr>
        <w:t>% of the total energy supply in South Africa. Natural gas domestic production amounted to 12</w:t>
      </w:r>
      <w:r w:rsidR="00C70B7A">
        <w:rPr>
          <w:lang w:val="en-GB"/>
        </w:rPr>
        <w:t xml:space="preserve"> </w:t>
      </w:r>
      <w:r>
        <w:rPr>
          <w:lang w:val="en-GB"/>
        </w:rPr>
        <w:t>% in 2018, whilst import amounted to 88</w:t>
      </w:r>
      <w:r w:rsidR="00C70B7A">
        <w:rPr>
          <w:lang w:val="en-GB"/>
        </w:rPr>
        <w:t xml:space="preserve"> </w:t>
      </w:r>
      <w:r>
        <w:rPr>
          <w:lang w:val="en-GB"/>
        </w:rPr>
        <w:t>% (</w:t>
      </w:r>
      <w:proofErr w:type="spellStart"/>
      <w:r>
        <w:rPr>
          <w:lang w:val="en-GB"/>
        </w:rPr>
        <w:t>Ratshomo</w:t>
      </w:r>
      <w:proofErr w:type="spellEnd"/>
      <w:r>
        <w:rPr>
          <w:lang w:val="en-GB"/>
        </w:rPr>
        <w:t xml:space="preserve"> and </w:t>
      </w:r>
      <w:proofErr w:type="spellStart"/>
      <w:r>
        <w:rPr>
          <w:lang w:val="en-GB"/>
        </w:rPr>
        <w:t>Nembahe</w:t>
      </w:r>
      <w:proofErr w:type="spellEnd"/>
      <w:r>
        <w:rPr>
          <w:lang w:val="en-GB"/>
        </w:rPr>
        <w:t>, 2021).</w:t>
      </w:r>
      <w:r w:rsidR="005C63A5">
        <w:rPr>
          <w:lang w:val="en-GB"/>
        </w:rPr>
        <w:t xml:space="preserve"> </w:t>
      </w:r>
      <w:bookmarkEnd w:id="6"/>
      <w:r>
        <w:rPr>
          <w:lang w:val="en-GB"/>
        </w:rPr>
        <w:t xml:space="preserve">The only South African gas productions are from offshore </w:t>
      </w:r>
      <w:proofErr w:type="spellStart"/>
      <w:r>
        <w:rPr>
          <w:lang w:val="en-GB"/>
        </w:rPr>
        <w:t>Bredasdrop</w:t>
      </w:r>
      <w:proofErr w:type="spellEnd"/>
      <w:r>
        <w:rPr>
          <w:lang w:val="en-GB"/>
        </w:rPr>
        <w:t xml:space="preserve"> basin own by </w:t>
      </w:r>
      <w:proofErr w:type="spellStart"/>
      <w:r>
        <w:rPr>
          <w:lang w:val="en-GB"/>
        </w:rPr>
        <w:t>PetroSA</w:t>
      </w:r>
      <w:proofErr w:type="spellEnd"/>
      <w:r>
        <w:rPr>
          <w:lang w:val="en-GB"/>
        </w:rPr>
        <w:t>. The F-A and satellites, E-M</w:t>
      </w:r>
      <w:r w:rsidR="006A7062">
        <w:rPr>
          <w:lang w:val="en-GB"/>
        </w:rPr>
        <w:t xml:space="preserve"> and F-O gas fields secured nearly 39 </w:t>
      </w:r>
      <w:r w:rsidR="00C70B7A">
        <w:rPr>
          <w:rFonts w:cs="Arial"/>
        </w:rPr>
        <w:t>×</w:t>
      </w:r>
      <w:r w:rsidR="00C70B7A">
        <w:t xml:space="preserve"> 10</w:t>
      </w:r>
      <w:r w:rsidR="00C70B7A">
        <w:rPr>
          <w:vertAlign w:val="superscript"/>
        </w:rPr>
        <w:t>9</w:t>
      </w:r>
      <w:r w:rsidR="00C70B7A">
        <w:t xml:space="preserve"> m</w:t>
      </w:r>
      <w:r w:rsidR="00C70B7A">
        <w:rPr>
          <w:vertAlign w:val="superscript"/>
        </w:rPr>
        <w:t>3</w:t>
      </w:r>
      <w:r w:rsidR="006A7062">
        <w:rPr>
          <w:lang w:val="en-GB"/>
        </w:rPr>
        <w:t xml:space="preserve"> gas and </w:t>
      </w:r>
      <w:r w:rsidR="0089519F">
        <w:rPr>
          <w:lang w:val="en-GB"/>
        </w:rPr>
        <w:t>6</w:t>
      </w:r>
      <w:r w:rsidR="00150DB0">
        <w:rPr>
          <w:lang w:val="en-GB"/>
        </w:rPr>
        <w:t>.</w:t>
      </w:r>
      <w:r w:rsidR="0089519F">
        <w:rPr>
          <w:lang w:val="en-GB"/>
        </w:rPr>
        <w:t>2</w:t>
      </w:r>
      <w:r w:rsidR="006A7062">
        <w:rPr>
          <w:lang w:val="en-GB"/>
        </w:rPr>
        <w:t xml:space="preserve"> </w:t>
      </w:r>
      <w:r w:rsidR="00C70B7A">
        <w:rPr>
          <w:rFonts w:cs="Arial"/>
        </w:rPr>
        <w:t>×</w:t>
      </w:r>
      <w:r w:rsidR="00C70B7A">
        <w:t xml:space="preserve"> 10</w:t>
      </w:r>
      <w:r w:rsidR="00C70B7A">
        <w:rPr>
          <w:vertAlign w:val="superscript"/>
        </w:rPr>
        <w:t>9</w:t>
      </w:r>
      <w:r w:rsidR="00C70B7A">
        <w:t xml:space="preserve"> m</w:t>
      </w:r>
      <w:r w:rsidR="00C70B7A">
        <w:rPr>
          <w:vertAlign w:val="superscript"/>
        </w:rPr>
        <w:t>3</w:t>
      </w:r>
      <w:r w:rsidR="006A7062">
        <w:rPr>
          <w:lang w:val="en-GB"/>
        </w:rPr>
        <w:t xml:space="preserve"> condensate for the GTL plant (</w:t>
      </w:r>
      <w:r w:rsidR="00FB7856">
        <w:rPr>
          <w:lang w:val="en-GB"/>
        </w:rPr>
        <w:t>SAGMP</w:t>
      </w:r>
      <w:r w:rsidR="006A7062">
        <w:rPr>
          <w:lang w:val="en-GB"/>
        </w:rPr>
        <w:t>, 2021).</w:t>
      </w:r>
      <w:r w:rsidR="005C63A5">
        <w:rPr>
          <w:lang w:val="en-GB"/>
        </w:rPr>
        <w:t xml:space="preserve"> </w:t>
      </w:r>
      <w:r w:rsidR="00E37956">
        <w:rPr>
          <w:lang w:val="en-GB"/>
        </w:rPr>
        <w:t>90</w:t>
      </w:r>
      <w:r w:rsidR="00C80BBB">
        <w:rPr>
          <w:lang w:val="en-GB"/>
        </w:rPr>
        <w:t xml:space="preserve"> </w:t>
      </w:r>
      <w:r w:rsidR="00E37956">
        <w:rPr>
          <w:lang w:val="en-GB"/>
        </w:rPr>
        <w:t xml:space="preserve">% of South Africa’s existing natural gas demand is supplied by a single entity, namely Sasol Gas. The gas is imported from </w:t>
      </w:r>
      <w:proofErr w:type="spellStart"/>
      <w:r w:rsidR="00E37956">
        <w:rPr>
          <w:lang w:val="en-GB"/>
        </w:rPr>
        <w:t>Temane</w:t>
      </w:r>
      <w:proofErr w:type="spellEnd"/>
      <w:r w:rsidR="00E37956">
        <w:rPr>
          <w:lang w:val="en-GB"/>
        </w:rPr>
        <w:t xml:space="preserve"> and Pande gas fields in onshore </w:t>
      </w:r>
      <w:r w:rsidR="00FB7856">
        <w:rPr>
          <w:lang w:val="en-GB"/>
        </w:rPr>
        <w:t>Mozambique</w:t>
      </w:r>
      <w:r w:rsidR="00E37956">
        <w:rPr>
          <w:lang w:val="en-GB"/>
        </w:rPr>
        <w:t xml:space="preserve">, with a </w:t>
      </w:r>
      <w:proofErr w:type="gramStart"/>
      <w:r w:rsidR="00E37956">
        <w:rPr>
          <w:lang w:val="en-GB"/>
        </w:rPr>
        <w:t>combine reserves</w:t>
      </w:r>
      <w:proofErr w:type="gramEnd"/>
      <w:r w:rsidR="00E37956">
        <w:rPr>
          <w:lang w:val="en-GB"/>
        </w:rPr>
        <w:t xml:space="preserve"> of </w:t>
      </w:r>
      <w:r w:rsidR="0089519F">
        <w:rPr>
          <w:lang w:val="en-GB"/>
        </w:rPr>
        <w:t>73</w:t>
      </w:r>
      <w:r w:rsidR="00E37956">
        <w:rPr>
          <w:lang w:val="en-GB"/>
        </w:rPr>
        <w:t xml:space="preserve"> </w:t>
      </w:r>
      <w:r w:rsidR="00C80BBB">
        <w:rPr>
          <w:rFonts w:cs="Arial"/>
        </w:rPr>
        <w:t>×</w:t>
      </w:r>
      <w:r w:rsidR="00C80BBB">
        <w:t xml:space="preserve"> 10</w:t>
      </w:r>
      <w:r w:rsidR="00C80BBB">
        <w:rPr>
          <w:vertAlign w:val="superscript"/>
        </w:rPr>
        <w:t>9</w:t>
      </w:r>
      <w:r w:rsidR="00C80BBB">
        <w:t xml:space="preserve"> m</w:t>
      </w:r>
      <w:r w:rsidR="00C80BBB">
        <w:rPr>
          <w:vertAlign w:val="superscript"/>
        </w:rPr>
        <w:t>3</w:t>
      </w:r>
      <w:r w:rsidR="00806BB0">
        <w:rPr>
          <w:lang w:val="en-GB"/>
        </w:rPr>
        <w:t xml:space="preserve">, via ROMPCO 865 km pipeline commissioned in 2004. </w:t>
      </w:r>
      <w:r w:rsidR="00E5658A">
        <w:rPr>
          <w:lang w:val="en-GB"/>
        </w:rPr>
        <w:t xml:space="preserve">Sasol Gas imports approximately </w:t>
      </w:r>
      <w:r w:rsidR="0089519F">
        <w:rPr>
          <w:lang w:val="en-GB"/>
        </w:rPr>
        <w:t>3</w:t>
      </w:r>
      <w:r w:rsidR="00150DB0">
        <w:rPr>
          <w:lang w:val="en-GB"/>
        </w:rPr>
        <w:t>.</w:t>
      </w:r>
      <w:r w:rsidR="0089519F">
        <w:rPr>
          <w:lang w:val="en-GB"/>
        </w:rPr>
        <w:t>9</w:t>
      </w:r>
      <w:r w:rsidR="00E5658A">
        <w:rPr>
          <w:lang w:val="en-GB"/>
        </w:rPr>
        <w:t xml:space="preserve"> </w:t>
      </w:r>
      <w:r w:rsidR="00C80BBB">
        <w:rPr>
          <w:rFonts w:cs="Arial"/>
        </w:rPr>
        <w:t>×</w:t>
      </w:r>
      <w:r w:rsidR="00C80BBB">
        <w:t xml:space="preserve"> 10</w:t>
      </w:r>
      <w:r w:rsidR="00C80BBB">
        <w:rPr>
          <w:vertAlign w:val="superscript"/>
        </w:rPr>
        <w:t>9</w:t>
      </w:r>
      <w:r w:rsidR="00C80BBB">
        <w:t xml:space="preserve"> m</w:t>
      </w:r>
      <w:r w:rsidR="00C80BBB">
        <w:rPr>
          <w:vertAlign w:val="superscript"/>
        </w:rPr>
        <w:t>3</w:t>
      </w:r>
      <w:r w:rsidR="00806BB0">
        <w:rPr>
          <w:lang w:val="en-GB"/>
        </w:rPr>
        <w:t xml:space="preserve"> </w:t>
      </w:r>
      <w:r w:rsidR="00E5658A">
        <w:rPr>
          <w:lang w:val="en-GB"/>
        </w:rPr>
        <w:t xml:space="preserve">of natural gas </w:t>
      </w:r>
      <w:r w:rsidR="00806BB0">
        <w:rPr>
          <w:lang w:val="en-GB"/>
        </w:rPr>
        <w:t>annu</w:t>
      </w:r>
      <w:r w:rsidR="00E5658A">
        <w:rPr>
          <w:lang w:val="en-GB"/>
        </w:rPr>
        <w:t>ally</w:t>
      </w:r>
      <w:r w:rsidR="00806BB0">
        <w:rPr>
          <w:lang w:val="en-GB"/>
        </w:rPr>
        <w:t xml:space="preserve">, </w:t>
      </w:r>
      <w:r w:rsidR="00E5658A">
        <w:rPr>
          <w:lang w:val="en-GB"/>
        </w:rPr>
        <w:t xml:space="preserve">of which </w:t>
      </w:r>
      <w:r w:rsidR="0089519F">
        <w:rPr>
          <w:lang w:val="en-GB"/>
        </w:rPr>
        <w:t>2</w:t>
      </w:r>
      <w:r w:rsidR="00150DB0">
        <w:rPr>
          <w:lang w:val="en-GB"/>
        </w:rPr>
        <w:t>.</w:t>
      </w:r>
      <w:r w:rsidR="0089519F">
        <w:rPr>
          <w:lang w:val="en-GB"/>
        </w:rPr>
        <w:t>8</w:t>
      </w:r>
      <w:r w:rsidR="00E5658A">
        <w:rPr>
          <w:lang w:val="en-GB"/>
        </w:rPr>
        <w:t xml:space="preserve"> </w:t>
      </w:r>
      <w:r w:rsidR="00C80BBB">
        <w:rPr>
          <w:rFonts w:cs="Arial"/>
        </w:rPr>
        <w:t>×</w:t>
      </w:r>
      <w:r w:rsidR="00C80BBB">
        <w:t xml:space="preserve"> 10</w:t>
      </w:r>
      <w:r w:rsidR="00C80BBB">
        <w:rPr>
          <w:vertAlign w:val="superscript"/>
        </w:rPr>
        <w:t>9</w:t>
      </w:r>
      <w:r w:rsidR="00C80BBB">
        <w:t xml:space="preserve"> m</w:t>
      </w:r>
      <w:r w:rsidR="00C80BBB">
        <w:rPr>
          <w:vertAlign w:val="superscript"/>
        </w:rPr>
        <w:t>3</w:t>
      </w:r>
      <w:r w:rsidR="00806BB0">
        <w:rPr>
          <w:lang w:val="en-GB"/>
        </w:rPr>
        <w:t xml:space="preserve"> is used by Sasol in the GTL and chemical</w:t>
      </w:r>
      <w:r w:rsidR="00F87DB8">
        <w:rPr>
          <w:lang w:val="en-GB"/>
        </w:rPr>
        <w:t>s</w:t>
      </w:r>
      <w:r w:rsidR="00806BB0">
        <w:rPr>
          <w:lang w:val="en-GB"/>
        </w:rPr>
        <w:t xml:space="preserve"> plant</w:t>
      </w:r>
      <w:r w:rsidR="00F87DB8">
        <w:rPr>
          <w:lang w:val="en-GB"/>
        </w:rPr>
        <w:t xml:space="preserve"> at </w:t>
      </w:r>
      <w:proofErr w:type="spellStart"/>
      <w:r w:rsidR="00F87DB8">
        <w:rPr>
          <w:lang w:val="en-GB"/>
        </w:rPr>
        <w:t>Secunda</w:t>
      </w:r>
      <w:proofErr w:type="spellEnd"/>
      <w:r w:rsidR="00C057A7">
        <w:rPr>
          <w:lang w:val="en-GB"/>
        </w:rPr>
        <w:t>, while the balance is distributed to commercial and industrial customers via a pipeline network covering more than 2</w:t>
      </w:r>
      <w:r w:rsidR="00723F97">
        <w:rPr>
          <w:lang w:val="en-GB"/>
        </w:rPr>
        <w:t>,</w:t>
      </w:r>
      <w:r w:rsidR="00C057A7">
        <w:rPr>
          <w:lang w:val="en-GB"/>
        </w:rPr>
        <w:t xml:space="preserve">000 km in the Free State, Gauteng, </w:t>
      </w:r>
      <w:proofErr w:type="gramStart"/>
      <w:r w:rsidR="00C057A7">
        <w:rPr>
          <w:lang w:val="en-GB"/>
        </w:rPr>
        <w:t>Mpumalanga</w:t>
      </w:r>
      <w:proofErr w:type="gramEnd"/>
      <w:r w:rsidR="00C057A7">
        <w:rPr>
          <w:lang w:val="en-GB"/>
        </w:rPr>
        <w:t xml:space="preserve"> and KwaZulu-Natal (</w:t>
      </w:r>
      <w:proofErr w:type="spellStart"/>
      <w:r w:rsidR="00C057A7">
        <w:rPr>
          <w:lang w:val="en-GB"/>
        </w:rPr>
        <w:t>Ratshomo</w:t>
      </w:r>
      <w:proofErr w:type="spellEnd"/>
      <w:r w:rsidR="00C057A7">
        <w:rPr>
          <w:lang w:val="en-GB"/>
        </w:rPr>
        <w:t xml:space="preserve"> and </w:t>
      </w:r>
      <w:proofErr w:type="spellStart"/>
      <w:r w:rsidR="00C057A7">
        <w:rPr>
          <w:lang w:val="en-GB"/>
        </w:rPr>
        <w:t>Nembahe</w:t>
      </w:r>
      <w:proofErr w:type="spellEnd"/>
      <w:r w:rsidR="00C057A7">
        <w:rPr>
          <w:lang w:val="en-GB"/>
        </w:rPr>
        <w:t>, 2021).</w:t>
      </w:r>
      <w:r w:rsidR="005C63A5">
        <w:rPr>
          <w:lang w:val="en-GB"/>
        </w:rPr>
        <w:t xml:space="preserve"> </w:t>
      </w:r>
      <w:r w:rsidR="00E5658A">
        <w:rPr>
          <w:lang w:val="en-GB"/>
        </w:rPr>
        <w:t xml:space="preserve">The Sasol </w:t>
      </w:r>
      <w:proofErr w:type="spellStart"/>
      <w:r w:rsidR="00E5658A">
        <w:rPr>
          <w:lang w:val="en-GB"/>
        </w:rPr>
        <w:t>Secunda</w:t>
      </w:r>
      <w:proofErr w:type="spellEnd"/>
      <w:r w:rsidR="00E5658A">
        <w:rPr>
          <w:lang w:val="en-GB"/>
        </w:rPr>
        <w:t xml:space="preserve"> CTL plant produces close to 0.</w:t>
      </w:r>
      <w:r w:rsidR="0089519F">
        <w:rPr>
          <w:lang w:val="en-GB"/>
        </w:rPr>
        <w:t>5</w:t>
      </w:r>
      <w:r w:rsidR="00CF5C1B">
        <w:rPr>
          <w:lang w:val="en-GB"/>
        </w:rPr>
        <w:t xml:space="preserve"> </w:t>
      </w:r>
      <w:r w:rsidR="00C80BBB">
        <w:rPr>
          <w:rFonts w:cs="Arial"/>
        </w:rPr>
        <w:t>×</w:t>
      </w:r>
      <w:r w:rsidR="00C80BBB">
        <w:t xml:space="preserve"> 10</w:t>
      </w:r>
      <w:r w:rsidR="00C80BBB">
        <w:rPr>
          <w:vertAlign w:val="superscript"/>
        </w:rPr>
        <w:t>9</w:t>
      </w:r>
      <w:r w:rsidR="00C80BBB">
        <w:t xml:space="preserve"> m</w:t>
      </w:r>
      <w:r w:rsidR="00C80BBB">
        <w:rPr>
          <w:vertAlign w:val="superscript"/>
        </w:rPr>
        <w:t>3</w:t>
      </w:r>
      <w:r w:rsidR="00CF5C1B">
        <w:rPr>
          <w:lang w:val="en-GB"/>
        </w:rPr>
        <w:t xml:space="preserve"> methane rich gas annually. Tetra4’s existing CNG plant in Virginia in the </w:t>
      </w:r>
      <w:proofErr w:type="gramStart"/>
      <w:r w:rsidR="00CF5C1B">
        <w:rPr>
          <w:lang w:val="en-GB"/>
        </w:rPr>
        <w:t>North West</w:t>
      </w:r>
      <w:proofErr w:type="gramEnd"/>
      <w:r w:rsidR="00CF5C1B">
        <w:rPr>
          <w:lang w:val="en-GB"/>
        </w:rPr>
        <w:t xml:space="preserve"> </w:t>
      </w:r>
      <w:r w:rsidR="000A40DF">
        <w:rPr>
          <w:lang w:val="en-GB"/>
        </w:rPr>
        <w:t>P</w:t>
      </w:r>
      <w:r w:rsidR="00CF5C1B">
        <w:rPr>
          <w:lang w:val="en-GB"/>
        </w:rPr>
        <w:t>rovince, can produce up to 0.</w:t>
      </w:r>
      <w:r w:rsidR="00AA78CB">
        <w:rPr>
          <w:lang w:val="en-GB"/>
        </w:rPr>
        <w:t>0028</w:t>
      </w:r>
      <w:r w:rsidR="00CF5C1B">
        <w:rPr>
          <w:lang w:val="en-GB"/>
        </w:rPr>
        <w:t xml:space="preserve"> </w:t>
      </w:r>
      <w:r w:rsidR="00C80BBB">
        <w:rPr>
          <w:rFonts w:cs="Arial"/>
        </w:rPr>
        <w:t>×</w:t>
      </w:r>
      <w:r w:rsidR="00C80BBB">
        <w:t xml:space="preserve"> 10</w:t>
      </w:r>
      <w:r w:rsidR="00C80BBB">
        <w:rPr>
          <w:vertAlign w:val="superscript"/>
        </w:rPr>
        <w:t>9</w:t>
      </w:r>
      <w:r w:rsidR="00C80BBB">
        <w:t xml:space="preserve"> m</w:t>
      </w:r>
      <w:r w:rsidR="00C80BBB">
        <w:rPr>
          <w:vertAlign w:val="superscript"/>
        </w:rPr>
        <w:t>3</w:t>
      </w:r>
      <w:r w:rsidR="00CF5C1B">
        <w:rPr>
          <w:lang w:val="en-GB"/>
        </w:rPr>
        <w:t xml:space="preserve"> annually from one well. </w:t>
      </w:r>
    </w:p>
    <w:p w14:paraId="0207F2AE" w14:textId="31A8F7F9" w:rsidR="001F4C3E" w:rsidRDefault="001F4C3E" w:rsidP="00600535">
      <w:pPr>
        <w:pStyle w:val="CETBodytext"/>
        <w:rPr>
          <w:lang w:val="en-GB"/>
        </w:rPr>
      </w:pPr>
      <w:r>
        <w:rPr>
          <w:lang w:val="en-GB"/>
        </w:rPr>
        <w:t>Africa accounts for less than 3</w:t>
      </w:r>
      <w:r w:rsidR="00C80BBB">
        <w:rPr>
          <w:lang w:val="en-GB"/>
        </w:rPr>
        <w:t xml:space="preserve"> </w:t>
      </w:r>
      <w:r>
        <w:rPr>
          <w:lang w:val="en-GB"/>
        </w:rPr>
        <w:t>% of the world’s installed renewables-based electricity generation capacity (IRENA, 2021a). Nevertheless, in the last decade (2010-2020), the renewables-based generation capacity on the continent has grown by 7</w:t>
      </w:r>
      <w:r w:rsidR="00C80BBB">
        <w:rPr>
          <w:lang w:val="en-GB"/>
        </w:rPr>
        <w:t xml:space="preserve"> </w:t>
      </w:r>
      <w:r>
        <w:rPr>
          <w:lang w:val="en-GB"/>
        </w:rPr>
        <w:t>%</w:t>
      </w:r>
      <w:r w:rsidR="002F4BFA">
        <w:rPr>
          <w:lang w:val="en-GB"/>
        </w:rPr>
        <w:t xml:space="preserve"> (IRENA and AfDB, 2022). Regionally, Southern Africa led total renewable generation capacity in 2020 with 17 </w:t>
      </w:r>
      <w:r w:rsidR="00C80BBB">
        <w:rPr>
          <w:lang w:val="en-GB"/>
        </w:rPr>
        <w:t>GW</w:t>
      </w:r>
      <w:r w:rsidR="002F4BFA">
        <w:rPr>
          <w:lang w:val="en-GB"/>
        </w:rPr>
        <w:t>, or around a third of Africa’s total, followed by North Africa’s total (IRENA, 2021).</w:t>
      </w:r>
      <w:r w:rsidR="005C63A5">
        <w:rPr>
          <w:lang w:val="en-GB"/>
        </w:rPr>
        <w:t xml:space="preserve"> </w:t>
      </w:r>
      <w:r w:rsidR="002F4BFA">
        <w:rPr>
          <w:lang w:val="en-GB"/>
        </w:rPr>
        <w:t>Solar and wind contributed the most to the African installed renewable-based electricity generation capacity. Solar energy is now the fastest-growing renewable energy source in Africa</w:t>
      </w:r>
      <w:r w:rsidR="001E46E3">
        <w:rPr>
          <w:lang w:val="en-GB"/>
        </w:rPr>
        <w:t>. South Africa and Egypt are Africa’s two largest solar producers, accounting for over three-quarters of installed solar capacity in 2020 (IRENA and AfDB, 2022). Africa’s installed solar generation capacity in 2020 was 1</w:t>
      </w:r>
      <w:r w:rsidR="00723F97">
        <w:rPr>
          <w:lang w:val="en-GB"/>
        </w:rPr>
        <w:t>,</w:t>
      </w:r>
      <w:r w:rsidR="001E46E3">
        <w:rPr>
          <w:lang w:val="en-GB"/>
        </w:rPr>
        <w:t>0431 MW. South Africa contributed 57</w:t>
      </w:r>
      <w:r w:rsidR="00C80BBB">
        <w:rPr>
          <w:lang w:val="en-GB"/>
        </w:rPr>
        <w:t xml:space="preserve"> </w:t>
      </w:r>
      <w:r w:rsidR="001E46E3">
        <w:rPr>
          <w:lang w:val="en-GB"/>
        </w:rPr>
        <w:t>%, while Egypt contributed 16</w:t>
      </w:r>
      <w:r w:rsidR="00C80BBB">
        <w:rPr>
          <w:lang w:val="en-GB"/>
        </w:rPr>
        <w:t xml:space="preserve"> </w:t>
      </w:r>
      <w:r w:rsidR="001E46E3">
        <w:rPr>
          <w:lang w:val="en-GB"/>
        </w:rPr>
        <w:t>% (IRENA, 2021).</w:t>
      </w:r>
      <w:r w:rsidR="005C63A5">
        <w:rPr>
          <w:lang w:val="en-GB"/>
        </w:rPr>
        <w:t xml:space="preserve"> </w:t>
      </w:r>
      <w:r w:rsidR="001E46E3">
        <w:rPr>
          <w:lang w:val="en-GB"/>
        </w:rPr>
        <w:t>Wind</w:t>
      </w:r>
      <w:r w:rsidR="00D511E1">
        <w:rPr>
          <w:lang w:val="en-GB"/>
        </w:rPr>
        <w:t xml:space="preserve"> resources remain highly underexploited in Africa. At the end of 2020, wind generation capacity in Africa amounted to 6.5 GW, of which </w:t>
      </w:r>
      <w:r w:rsidR="00D511E1">
        <w:rPr>
          <w:lang w:val="en-GB"/>
        </w:rPr>
        <w:lastRenderedPageBreak/>
        <w:t>some 0.7 GW was added in 2020 (IRENA and AfDB, 2022). Africa’s installed wind generation capacity in 2020 was 6</w:t>
      </w:r>
      <w:r w:rsidR="00C950AC">
        <w:rPr>
          <w:lang w:val="en-GB"/>
        </w:rPr>
        <w:t>,</w:t>
      </w:r>
      <w:r w:rsidR="00D511E1">
        <w:rPr>
          <w:lang w:val="en-GB"/>
        </w:rPr>
        <w:t>479 MW. South Africa contributed 41</w:t>
      </w:r>
      <w:r w:rsidR="00C80BBB">
        <w:rPr>
          <w:lang w:val="en-GB"/>
        </w:rPr>
        <w:t xml:space="preserve"> </w:t>
      </w:r>
      <w:r w:rsidR="00D511E1">
        <w:rPr>
          <w:lang w:val="en-GB"/>
        </w:rPr>
        <w:t>%, Morocco contributed 22</w:t>
      </w:r>
      <w:r w:rsidR="00C80BBB">
        <w:rPr>
          <w:lang w:val="en-GB"/>
        </w:rPr>
        <w:t xml:space="preserve"> </w:t>
      </w:r>
      <w:r w:rsidR="00D511E1">
        <w:rPr>
          <w:lang w:val="en-GB"/>
        </w:rPr>
        <w:t>% and Egypt contributed 21</w:t>
      </w:r>
      <w:r w:rsidR="00C80BBB">
        <w:rPr>
          <w:lang w:val="en-GB"/>
        </w:rPr>
        <w:t xml:space="preserve"> </w:t>
      </w:r>
      <w:r w:rsidR="00D511E1">
        <w:rPr>
          <w:lang w:val="en-GB"/>
        </w:rPr>
        <w:t>% (IRENA, 2021).</w:t>
      </w:r>
    </w:p>
    <w:p w14:paraId="3C79156F" w14:textId="74BFE669" w:rsidR="00C1753B" w:rsidRDefault="00A95B35" w:rsidP="00600535">
      <w:pPr>
        <w:pStyle w:val="CETHeading1"/>
        <w:rPr>
          <w:lang w:val="en-GB"/>
        </w:rPr>
      </w:pPr>
      <w:r>
        <w:rPr>
          <w:lang w:val="en-GB"/>
        </w:rPr>
        <w:t xml:space="preserve">South African electricity </w:t>
      </w:r>
      <w:r w:rsidR="004E0576">
        <w:rPr>
          <w:lang w:val="en-GB"/>
        </w:rPr>
        <w:t>generation</w:t>
      </w:r>
    </w:p>
    <w:p w14:paraId="4CDB2A3C" w14:textId="2DE9BE34" w:rsidR="00C56395" w:rsidRDefault="0010017C" w:rsidP="00C56395">
      <w:pPr>
        <w:pStyle w:val="CETBodytext"/>
        <w:rPr>
          <w:lang w:val="en-GB"/>
        </w:rPr>
      </w:pPr>
      <w:r>
        <w:rPr>
          <w:lang w:val="en-GB"/>
        </w:rPr>
        <w:t>Between 2010 and 2018, total installed generation capacity in Africa increased from around 155 GW to almost 245 GW (IEA, 2019). Natural gas used for electricity generation in 2019 in Africa amounted to 42.6</w:t>
      </w:r>
      <w:r w:rsidR="00D36589">
        <w:rPr>
          <w:lang w:val="en-GB"/>
        </w:rPr>
        <w:t xml:space="preserve"> </w:t>
      </w:r>
      <w:r>
        <w:rPr>
          <w:lang w:val="en-GB"/>
        </w:rPr>
        <w:t>%, mainly in North Africa, followed by coal (28.1</w:t>
      </w:r>
      <w:r w:rsidR="00D36589">
        <w:rPr>
          <w:lang w:val="en-GB"/>
        </w:rPr>
        <w:t xml:space="preserve"> </w:t>
      </w:r>
      <w:r>
        <w:rPr>
          <w:lang w:val="en-GB"/>
        </w:rPr>
        <w:t xml:space="preserve">%), </w:t>
      </w:r>
      <w:r w:rsidR="000A40DF">
        <w:rPr>
          <w:lang w:val="en-GB"/>
        </w:rPr>
        <w:t>then</w:t>
      </w:r>
      <w:r>
        <w:rPr>
          <w:lang w:val="en-GB"/>
        </w:rPr>
        <w:t xml:space="preserve"> hydropower (17.4</w:t>
      </w:r>
      <w:r w:rsidR="00D36589">
        <w:rPr>
          <w:lang w:val="en-GB"/>
        </w:rPr>
        <w:t xml:space="preserve"> </w:t>
      </w:r>
      <w:r>
        <w:rPr>
          <w:lang w:val="en-GB"/>
        </w:rPr>
        <w:t>%) (IRENA and AfDB, 2022). South Africa accounts for 85</w:t>
      </w:r>
      <w:r w:rsidR="00D36589">
        <w:rPr>
          <w:lang w:val="en-GB"/>
        </w:rPr>
        <w:t xml:space="preserve"> </w:t>
      </w:r>
      <w:r>
        <w:rPr>
          <w:lang w:val="en-GB"/>
        </w:rPr>
        <w:t xml:space="preserve">% of the almost 50 GW of coal fired capacity on the African continent (IEA, 2019).  </w:t>
      </w:r>
    </w:p>
    <w:p w14:paraId="0F8B42D3" w14:textId="43429CC7" w:rsidR="0010017C" w:rsidRDefault="0010017C" w:rsidP="00C56395">
      <w:pPr>
        <w:pStyle w:val="CETBodytext"/>
        <w:rPr>
          <w:lang w:val="en-GB"/>
        </w:rPr>
      </w:pPr>
      <w:r>
        <w:rPr>
          <w:lang w:val="en-GB"/>
        </w:rPr>
        <w:t>South Africa</w:t>
      </w:r>
      <w:r w:rsidR="004301A0">
        <w:rPr>
          <w:lang w:val="en-GB"/>
        </w:rPr>
        <w:t>’s</w:t>
      </w:r>
      <w:r>
        <w:rPr>
          <w:lang w:val="en-GB"/>
        </w:rPr>
        <w:t xml:space="preserve"> electricity generation depend</w:t>
      </w:r>
      <w:r w:rsidR="004301A0">
        <w:rPr>
          <w:lang w:val="en-GB"/>
        </w:rPr>
        <w:t>s</w:t>
      </w:r>
      <w:r>
        <w:rPr>
          <w:lang w:val="en-GB"/>
        </w:rPr>
        <w:t xml:space="preserve"> largely to coal. Coal fired power plants amounted to 83</w:t>
      </w:r>
      <w:r w:rsidR="00D36589">
        <w:rPr>
          <w:lang w:val="en-GB"/>
        </w:rPr>
        <w:t xml:space="preserve"> </w:t>
      </w:r>
      <w:r>
        <w:rPr>
          <w:lang w:val="en-GB"/>
        </w:rPr>
        <w:t>% in 2019, a decrease from 2018 (90</w:t>
      </w:r>
      <w:r w:rsidR="00D36589">
        <w:rPr>
          <w:lang w:val="en-GB"/>
        </w:rPr>
        <w:t xml:space="preserve"> </w:t>
      </w:r>
      <w:r>
        <w:rPr>
          <w:lang w:val="en-GB"/>
        </w:rPr>
        <w:t>%) (Eskom, 2019). Eskom operated 15 coal fired power plants with a total capacity of 43</w:t>
      </w:r>
      <w:r w:rsidR="00723F97">
        <w:rPr>
          <w:lang w:val="en-GB"/>
        </w:rPr>
        <w:t>,</w:t>
      </w:r>
      <w:r>
        <w:rPr>
          <w:lang w:val="en-GB"/>
        </w:rPr>
        <w:t xml:space="preserve">256 MW as March 2021 (Eskom, 2021). All the coal fired power plants are concentrated in Mpumalanga Province, except Lethabo in Free State and </w:t>
      </w:r>
      <w:proofErr w:type="spellStart"/>
      <w:r>
        <w:rPr>
          <w:lang w:val="en-GB"/>
        </w:rPr>
        <w:t>Matinba</w:t>
      </w:r>
      <w:proofErr w:type="spellEnd"/>
      <w:r>
        <w:rPr>
          <w:lang w:val="en-GB"/>
        </w:rPr>
        <w:t xml:space="preserve">/Medupi in Limpopo. </w:t>
      </w:r>
      <w:r w:rsidR="00D93595">
        <w:rPr>
          <w:lang w:val="en-GB"/>
        </w:rPr>
        <w:t xml:space="preserve">According to </w:t>
      </w:r>
      <w:proofErr w:type="spellStart"/>
      <w:r w:rsidR="00D93595">
        <w:rPr>
          <w:lang w:val="en-GB"/>
        </w:rPr>
        <w:t>Merven</w:t>
      </w:r>
      <w:proofErr w:type="spellEnd"/>
      <w:r w:rsidR="00D93595">
        <w:rPr>
          <w:lang w:val="en-GB"/>
        </w:rPr>
        <w:t xml:space="preserve"> et al. (2021), there are 6 coal fired power plants </w:t>
      </w:r>
      <w:r w:rsidR="004E0576">
        <w:rPr>
          <w:lang w:val="en-GB"/>
        </w:rPr>
        <w:t xml:space="preserve">that </w:t>
      </w:r>
      <w:r w:rsidR="00D93595">
        <w:rPr>
          <w:lang w:val="en-GB"/>
        </w:rPr>
        <w:t>will be decommissioned by 2030 with a total capacity of 10</w:t>
      </w:r>
      <w:r w:rsidR="00723F97">
        <w:rPr>
          <w:lang w:val="en-GB"/>
        </w:rPr>
        <w:t>,</w:t>
      </w:r>
      <w:r w:rsidR="00D93595">
        <w:rPr>
          <w:lang w:val="en-GB"/>
        </w:rPr>
        <w:t xml:space="preserve">711 MW. All the 6 plants are regrouped in the same region in Mpumalanga. </w:t>
      </w:r>
    </w:p>
    <w:p w14:paraId="2091C374" w14:textId="4146A557" w:rsidR="0097329C" w:rsidRDefault="0097329C" w:rsidP="00C56395">
      <w:pPr>
        <w:pStyle w:val="CETBodytext"/>
        <w:rPr>
          <w:lang w:val="en-GB"/>
        </w:rPr>
      </w:pPr>
      <w:r w:rsidRPr="0097329C">
        <w:rPr>
          <w:lang w:val="en-GB"/>
        </w:rPr>
        <w:t>Currently, there are six open cycle gas turbine (OCGT) peaking plants in South Africa, utilising diesel as fuel source. Four of these plants are operated by Eskom and two by International Power, with a total capacity of 3</w:t>
      </w:r>
      <w:r w:rsidR="00723F97">
        <w:rPr>
          <w:lang w:val="en-GB"/>
        </w:rPr>
        <w:t>,</w:t>
      </w:r>
      <w:r w:rsidRPr="0097329C">
        <w:rPr>
          <w:lang w:val="en-GB"/>
        </w:rPr>
        <w:t>763 MW. All these six plants are located at the coast, three in the Western Cape, two in the Eastern Cape and one in KwaZulu Natal.</w:t>
      </w:r>
    </w:p>
    <w:p w14:paraId="5D5FA4C2" w14:textId="6D8562D8" w:rsidR="00975363" w:rsidRDefault="0097329C" w:rsidP="00C56395">
      <w:pPr>
        <w:pStyle w:val="CETBodytext"/>
        <w:rPr>
          <w:lang w:val="en-GB"/>
        </w:rPr>
      </w:pPr>
      <w:r w:rsidRPr="0097329C">
        <w:rPr>
          <w:lang w:val="en-GB"/>
        </w:rPr>
        <w:t>There is only one nuclear power plant in Africa, located 30 km north of Cape Town in the Western Cape and operated by Eskom. Nuclear energy contributed 2.6</w:t>
      </w:r>
      <w:r w:rsidR="00723F97">
        <w:rPr>
          <w:lang w:val="en-GB"/>
        </w:rPr>
        <w:t xml:space="preserve"> </w:t>
      </w:r>
      <w:r w:rsidRPr="0097329C">
        <w:rPr>
          <w:lang w:val="en-GB"/>
        </w:rPr>
        <w:t>% of the total South African energy supply. Koeberg nuclear power plant contains two 970 MW uranium pressurized water reactors, with a total capacity of 1</w:t>
      </w:r>
      <w:r w:rsidR="00723F97">
        <w:rPr>
          <w:lang w:val="en-GB"/>
        </w:rPr>
        <w:t>,</w:t>
      </w:r>
      <w:r w:rsidRPr="0097329C">
        <w:rPr>
          <w:lang w:val="en-GB"/>
        </w:rPr>
        <w:t>940 MW. Eskom is running a long-term operation (LTO) project that will extend the life of Koeberg for an additional 20 years to 2045 (Eskom, 2021).</w:t>
      </w:r>
      <w:r>
        <w:rPr>
          <w:lang w:val="en-GB"/>
        </w:rPr>
        <w:t xml:space="preserve"> </w:t>
      </w:r>
      <w:r w:rsidRPr="0097329C">
        <w:rPr>
          <w:lang w:val="en-GB"/>
        </w:rPr>
        <w:t>Eskom operated three peaking pumped storage schemes, namely Drakensberg (1</w:t>
      </w:r>
      <w:r w:rsidR="00723F97">
        <w:rPr>
          <w:lang w:val="en-GB"/>
        </w:rPr>
        <w:t>,</w:t>
      </w:r>
      <w:r w:rsidRPr="0097329C">
        <w:rPr>
          <w:lang w:val="en-GB"/>
        </w:rPr>
        <w:t>000</w:t>
      </w:r>
      <w:r w:rsidR="00D36589">
        <w:rPr>
          <w:lang w:val="en-GB"/>
        </w:rPr>
        <w:t xml:space="preserve"> </w:t>
      </w:r>
      <w:r w:rsidRPr="0097329C">
        <w:rPr>
          <w:lang w:val="en-GB"/>
        </w:rPr>
        <w:t>MW), Ingula (1</w:t>
      </w:r>
      <w:r w:rsidR="00723F97">
        <w:rPr>
          <w:lang w:val="en-GB"/>
        </w:rPr>
        <w:t>,</w:t>
      </w:r>
      <w:r w:rsidRPr="0097329C">
        <w:rPr>
          <w:lang w:val="en-GB"/>
        </w:rPr>
        <w:t>332 MW) and Palmiet (400 MW). Also</w:t>
      </w:r>
      <w:r w:rsidR="004301A0">
        <w:rPr>
          <w:lang w:val="en-GB"/>
        </w:rPr>
        <w:t>,</w:t>
      </w:r>
      <w:r w:rsidRPr="0097329C">
        <w:rPr>
          <w:lang w:val="en-GB"/>
        </w:rPr>
        <w:t xml:space="preserve"> Eskom operated two hydroelectric stations, namely </w:t>
      </w:r>
      <w:proofErr w:type="spellStart"/>
      <w:r w:rsidRPr="0097329C">
        <w:rPr>
          <w:lang w:val="en-GB"/>
        </w:rPr>
        <w:t>Gariep</w:t>
      </w:r>
      <w:proofErr w:type="spellEnd"/>
      <w:r w:rsidRPr="0097329C">
        <w:rPr>
          <w:lang w:val="en-GB"/>
        </w:rPr>
        <w:t xml:space="preserve"> (360 MW) and </w:t>
      </w:r>
      <w:proofErr w:type="spellStart"/>
      <w:r w:rsidRPr="0097329C">
        <w:rPr>
          <w:lang w:val="en-GB"/>
        </w:rPr>
        <w:t>Vanderkloof</w:t>
      </w:r>
      <w:proofErr w:type="spellEnd"/>
      <w:r w:rsidRPr="0097329C">
        <w:rPr>
          <w:lang w:val="en-GB"/>
        </w:rPr>
        <w:t xml:space="preserve"> (240 MW).</w:t>
      </w:r>
    </w:p>
    <w:p w14:paraId="3123916B" w14:textId="63365EE8" w:rsidR="00443064" w:rsidRDefault="009B144A" w:rsidP="00C56395">
      <w:pPr>
        <w:pStyle w:val="CETBodytext"/>
        <w:rPr>
          <w:lang w:val="en-GB"/>
        </w:rPr>
      </w:pPr>
      <w:r>
        <w:rPr>
          <w:lang w:val="en-GB"/>
        </w:rPr>
        <w:t>Despite that South Africa is leading Africa in solar energy generation (57</w:t>
      </w:r>
      <w:r w:rsidR="00D36589">
        <w:rPr>
          <w:lang w:val="en-GB"/>
        </w:rPr>
        <w:t xml:space="preserve"> </w:t>
      </w:r>
      <w:r>
        <w:rPr>
          <w:lang w:val="en-GB"/>
        </w:rPr>
        <w:t>%) with a total capacity of 5</w:t>
      </w:r>
      <w:r w:rsidR="00723F97">
        <w:rPr>
          <w:lang w:val="en-GB"/>
        </w:rPr>
        <w:t>,</w:t>
      </w:r>
      <w:r>
        <w:rPr>
          <w:lang w:val="en-GB"/>
        </w:rPr>
        <w:t>945 MW, and wind energy generation (41</w:t>
      </w:r>
      <w:r w:rsidR="00D36589">
        <w:rPr>
          <w:lang w:val="en-GB"/>
        </w:rPr>
        <w:t xml:space="preserve"> </w:t>
      </w:r>
      <w:r>
        <w:rPr>
          <w:lang w:val="en-GB"/>
        </w:rPr>
        <w:t>%) with a total capacity of 2</w:t>
      </w:r>
      <w:r w:rsidR="00723F97">
        <w:rPr>
          <w:lang w:val="en-GB"/>
        </w:rPr>
        <w:t>,</w:t>
      </w:r>
      <w:r>
        <w:rPr>
          <w:lang w:val="en-GB"/>
        </w:rPr>
        <w:t>656 MW (IRENA, 2021), the contribution of the renewable energy to the energy mix is low (</w:t>
      </w:r>
      <w:proofErr w:type="gramStart"/>
      <w:r>
        <w:rPr>
          <w:lang w:val="en-GB"/>
        </w:rPr>
        <w:t>i.e.</w:t>
      </w:r>
      <w:proofErr w:type="gramEnd"/>
      <w:r>
        <w:rPr>
          <w:lang w:val="en-GB"/>
        </w:rPr>
        <w:t xml:space="preserve"> 2.8</w:t>
      </w:r>
      <w:r w:rsidR="00D36589">
        <w:rPr>
          <w:lang w:val="en-GB"/>
        </w:rPr>
        <w:t xml:space="preserve"> </w:t>
      </w:r>
      <w:r w:rsidR="00C15BB3">
        <w:rPr>
          <w:lang w:val="en-GB"/>
        </w:rPr>
        <w:t>%) (BP, 2019).</w:t>
      </w:r>
      <w:r w:rsidR="00EC05D2">
        <w:rPr>
          <w:lang w:val="en-GB"/>
        </w:rPr>
        <w:t xml:space="preserve"> </w:t>
      </w:r>
      <w:r w:rsidR="00C15BB3">
        <w:rPr>
          <w:lang w:val="en-GB"/>
        </w:rPr>
        <w:t>The South African renewable energy is based on solar and wind. The onshore wind power contributed in 2020 with 52</w:t>
      </w:r>
      <w:r w:rsidR="00D36589">
        <w:rPr>
          <w:lang w:val="en-GB"/>
        </w:rPr>
        <w:t xml:space="preserve"> </w:t>
      </w:r>
      <w:r w:rsidR="00C15BB3">
        <w:rPr>
          <w:lang w:val="en-GB"/>
        </w:rPr>
        <w:t>% of the total renewable energy capacity, which represent 0.2</w:t>
      </w:r>
      <w:r w:rsidR="00D36589">
        <w:rPr>
          <w:lang w:val="en-GB"/>
        </w:rPr>
        <w:t xml:space="preserve"> </w:t>
      </w:r>
      <w:r w:rsidR="00C15BB3">
        <w:rPr>
          <w:lang w:val="en-GB"/>
        </w:rPr>
        <w:t>% of maximum generation capacity mix, followed by photovoltaic power with 36</w:t>
      </w:r>
      <w:r w:rsidR="00D36589">
        <w:rPr>
          <w:lang w:val="en-GB"/>
        </w:rPr>
        <w:t xml:space="preserve"> </w:t>
      </w:r>
      <w:r w:rsidR="00C15BB3">
        <w:rPr>
          <w:lang w:val="en-GB"/>
        </w:rPr>
        <w:t>% and concentrated solar power with 9</w:t>
      </w:r>
      <w:r w:rsidR="00D36589">
        <w:rPr>
          <w:lang w:val="en-GB"/>
        </w:rPr>
        <w:t xml:space="preserve"> </w:t>
      </w:r>
      <w:r w:rsidR="00C15BB3">
        <w:rPr>
          <w:lang w:val="en-GB"/>
        </w:rPr>
        <w:t>%, and the balance is covered by biomass, landfill gas and small hydro-technologies (</w:t>
      </w:r>
      <w:proofErr w:type="spellStart"/>
      <w:r w:rsidR="00C15BB3">
        <w:rPr>
          <w:lang w:val="en-GB"/>
        </w:rPr>
        <w:t>Ratshomo</w:t>
      </w:r>
      <w:proofErr w:type="spellEnd"/>
      <w:r w:rsidR="00443064">
        <w:rPr>
          <w:lang w:val="en-GB"/>
        </w:rPr>
        <w:t xml:space="preserve"> and </w:t>
      </w:r>
      <w:proofErr w:type="spellStart"/>
      <w:r w:rsidR="00443064">
        <w:rPr>
          <w:lang w:val="en-GB"/>
        </w:rPr>
        <w:t>Nembahe</w:t>
      </w:r>
      <w:proofErr w:type="spellEnd"/>
      <w:r w:rsidR="00443064">
        <w:rPr>
          <w:lang w:val="en-GB"/>
        </w:rPr>
        <w:t>, 2021).</w:t>
      </w:r>
      <w:r w:rsidR="00EC05D2">
        <w:rPr>
          <w:lang w:val="en-GB"/>
        </w:rPr>
        <w:t xml:space="preserve"> </w:t>
      </w:r>
      <w:r w:rsidR="00443064">
        <w:rPr>
          <w:lang w:val="en-GB"/>
        </w:rPr>
        <w:t xml:space="preserve">There are 25 onshore wind farms in South Africa with different capacity. The biggest wind farm is </w:t>
      </w:r>
      <w:proofErr w:type="spellStart"/>
      <w:r w:rsidR="00443064">
        <w:rPr>
          <w:lang w:val="en-GB"/>
        </w:rPr>
        <w:t>Khobab</w:t>
      </w:r>
      <w:proofErr w:type="spellEnd"/>
      <w:r w:rsidR="00443064">
        <w:rPr>
          <w:lang w:val="en-GB"/>
        </w:rPr>
        <w:t xml:space="preserve"> with 140 MW, 10 farms over 100 MW, 9 plants between 50 and 100 MW and 6 plants between 20 and 50 MW</w:t>
      </w:r>
      <w:r w:rsidR="006523A1">
        <w:rPr>
          <w:lang w:val="en-GB"/>
        </w:rPr>
        <w:t xml:space="preserve"> (</w:t>
      </w:r>
      <w:proofErr w:type="spellStart"/>
      <w:r w:rsidR="006523A1">
        <w:rPr>
          <w:lang w:val="en-GB"/>
        </w:rPr>
        <w:t>Akinbami</w:t>
      </w:r>
      <w:proofErr w:type="spellEnd"/>
      <w:r w:rsidR="006523A1">
        <w:rPr>
          <w:lang w:val="en-GB"/>
        </w:rPr>
        <w:t xml:space="preserve"> et al., 2021)</w:t>
      </w:r>
      <w:r w:rsidR="00723F97">
        <w:rPr>
          <w:lang w:val="en-GB"/>
        </w:rPr>
        <w:t xml:space="preserve">. </w:t>
      </w:r>
      <w:r w:rsidR="00443064">
        <w:rPr>
          <w:lang w:val="en-GB"/>
        </w:rPr>
        <w:t>There are 22 solar PV plants in South Africa. Aries Solar is the biggest solar PV with 97 MW, followed by Jasper (96 MW), 18 plants more than 50 MW and the smalle</w:t>
      </w:r>
      <w:r w:rsidR="006523A1">
        <w:rPr>
          <w:lang w:val="en-GB"/>
        </w:rPr>
        <w:t xml:space="preserve">st plant is </w:t>
      </w:r>
      <w:proofErr w:type="spellStart"/>
      <w:r w:rsidR="006523A1">
        <w:rPr>
          <w:lang w:val="en-GB"/>
        </w:rPr>
        <w:t>Greefspan</w:t>
      </w:r>
      <w:proofErr w:type="spellEnd"/>
      <w:r w:rsidR="006523A1">
        <w:rPr>
          <w:lang w:val="en-GB"/>
        </w:rPr>
        <w:t xml:space="preserve"> (10 MW). There are 6 concentrated solar power (CSP) plants, 4 with 100 MW capacity and two with 50 MW each (</w:t>
      </w:r>
      <w:proofErr w:type="spellStart"/>
      <w:r w:rsidR="006523A1">
        <w:rPr>
          <w:lang w:val="en-GB"/>
        </w:rPr>
        <w:t>Akinbami</w:t>
      </w:r>
      <w:proofErr w:type="spellEnd"/>
      <w:r w:rsidR="006523A1">
        <w:rPr>
          <w:lang w:val="en-GB"/>
        </w:rPr>
        <w:t xml:space="preserve"> et al., 2021).</w:t>
      </w:r>
    </w:p>
    <w:p w14:paraId="1A59104D" w14:textId="02493B81" w:rsidR="00A95B35" w:rsidRDefault="00A95B35" w:rsidP="00A95B35">
      <w:pPr>
        <w:pStyle w:val="CETHeading1"/>
      </w:pPr>
      <w:r>
        <w:t xml:space="preserve">South African transportation </w:t>
      </w:r>
      <w:r w:rsidR="00B95C83">
        <w:t>sector</w:t>
      </w:r>
    </w:p>
    <w:p w14:paraId="7AE14499" w14:textId="03EDF38B" w:rsidR="006B2D8C" w:rsidRDefault="00E77A02" w:rsidP="008B020E">
      <w:pPr>
        <w:pStyle w:val="CETBodytext"/>
      </w:pPr>
      <w:r>
        <w:t>South Africa produce</w:t>
      </w:r>
      <w:r w:rsidR="00692B38">
        <w:t>s</w:t>
      </w:r>
      <w:r>
        <w:t xml:space="preserve"> liquid fuels from oil, covering 54.4</w:t>
      </w:r>
      <w:r w:rsidR="00F01607">
        <w:t xml:space="preserve"> </w:t>
      </w:r>
      <w:r>
        <w:t>% of the total fuel demand, while coal covered 42.3</w:t>
      </w:r>
      <w:r w:rsidR="00F01607">
        <w:t xml:space="preserve"> </w:t>
      </w:r>
      <w:r>
        <w:t>% of the total demand via Sasol coal to liquid</w:t>
      </w:r>
      <w:r w:rsidR="00963225">
        <w:t>s</w:t>
      </w:r>
      <w:r>
        <w:t xml:space="preserve"> (CTL) plant. </w:t>
      </w:r>
      <w:r w:rsidR="00590E20">
        <w:t>N</w:t>
      </w:r>
      <w:r>
        <w:t>atural gas produced 3.2</w:t>
      </w:r>
      <w:r w:rsidR="00F01607">
        <w:t xml:space="preserve"> </w:t>
      </w:r>
      <w:r>
        <w:t>% of liquid fuel</w:t>
      </w:r>
      <w:r w:rsidR="00963225">
        <w:t>s</w:t>
      </w:r>
      <w:r>
        <w:t xml:space="preserve"> by </w:t>
      </w:r>
      <w:proofErr w:type="spellStart"/>
      <w:r>
        <w:t>PetroSA</w:t>
      </w:r>
      <w:proofErr w:type="spellEnd"/>
      <w:r>
        <w:t xml:space="preserve">, </w:t>
      </w:r>
      <w:r w:rsidR="00590E20">
        <w:t>in its Mossel Bay gas to liquid</w:t>
      </w:r>
      <w:r w:rsidR="00963225">
        <w:t>s</w:t>
      </w:r>
      <w:r w:rsidR="00590E20">
        <w:t xml:space="preserve"> (GTL) plant </w:t>
      </w:r>
      <w:r w:rsidR="00FB7856">
        <w:rPr>
          <w:lang w:val="en-GB"/>
        </w:rPr>
        <w:t>(</w:t>
      </w:r>
      <w:proofErr w:type="spellStart"/>
      <w:r w:rsidR="00FB7856">
        <w:rPr>
          <w:lang w:val="en-GB"/>
        </w:rPr>
        <w:t>Ratshomo</w:t>
      </w:r>
      <w:proofErr w:type="spellEnd"/>
      <w:r w:rsidR="00FB7856">
        <w:rPr>
          <w:lang w:val="en-GB"/>
        </w:rPr>
        <w:t xml:space="preserve"> and </w:t>
      </w:r>
      <w:proofErr w:type="spellStart"/>
      <w:r w:rsidR="00FB7856">
        <w:rPr>
          <w:lang w:val="en-GB"/>
        </w:rPr>
        <w:t>Nembahe</w:t>
      </w:r>
      <w:proofErr w:type="spellEnd"/>
      <w:r w:rsidR="00FB7856">
        <w:rPr>
          <w:lang w:val="en-GB"/>
        </w:rPr>
        <w:t>, 2021)</w:t>
      </w:r>
      <w:r w:rsidR="00590E20">
        <w:t>.</w:t>
      </w:r>
      <w:r w:rsidR="00190894">
        <w:t xml:space="preserve"> </w:t>
      </w:r>
      <w:r w:rsidR="00590E20">
        <w:t>According to the 2018 Energy Balances, 66</w:t>
      </w:r>
      <w:r w:rsidR="00F01607">
        <w:t xml:space="preserve"> </w:t>
      </w:r>
      <w:r w:rsidR="00590E20">
        <w:t>% of the total petroleum products supply was produced locally, imports amounted to 23</w:t>
      </w:r>
      <w:r w:rsidR="00F01607">
        <w:t xml:space="preserve"> </w:t>
      </w:r>
      <w:r w:rsidR="00590E20">
        <w:t>% and exports amounted to 11</w:t>
      </w:r>
      <w:r w:rsidR="00F01607">
        <w:t xml:space="preserve"> </w:t>
      </w:r>
      <w:r w:rsidR="00590E20">
        <w:t xml:space="preserve">% </w:t>
      </w:r>
      <w:r w:rsidR="00FB7856">
        <w:rPr>
          <w:lang w:val="en-GB"/>
        </w:rPr>
        <w:t>(</w:t>
      </w:r>
      <w:proofErr w:type="spellStart"/>
      <w:r w:rsidR="00FB7856">
        <w:rPr>
          <w:lang w:val="en-GB"/>
        </w:rPr>
        <w:t>Ratshomo</w:t>
      </w:r>
      <w:proofErr w:type="spellEnd"/>
      <w:r w:rsidR="00FB7856">
        <w:rPr>
          <w:lang w:val="en-GB"/>
        </w:rPr>
        <w:t xml:space="preserve"> and </w:t>
      </w:r>
      <w:proofErr w:type="spellStart"/>
      <w:r w:rsidR="00FB7856">
        <w:rPr>
          <w:lang w:val="en-GB"/>
        </w:rPr>
        <w:t>Nembahe</w:t>
      </w:r>
      <w:proofErr w:type="spellEnd"/>
      <w:r w:rsidR="00FB7856">
        <w:rPr>
          <w:lang w:val="en-GB"/>
        </w:rPr>
        <w:t>, 2021)</w:t>
      </w:r>
      <w:r w:rsidR="00590E20">
        <w:t>.</w:t>
      </w:r>
      <w:r w:rsidR="00743588">
        <w:t xml:space="preserve"> South Africa produced </w:t>
      </w:r>
      <w:r w:rsidR="00270104">
        <w:t xml:space="preserve">4,738.8 </w:t>
      </w:r>
      <w:r w:rsidR="00270104">
        <w:rPr>
          <w:lang w:val="en-GB"/>
        </w:rPr>
        <w:t>m</w:t>
      </w:r>
      <w:r w:rsidR="00270104" w:rsidRPr="007E5B68">
        <w:rPr>
          <w:vertAlign w:val="superscript"/>
          <w:lang w:val="en-GB"/>
        </w:rPr>
        <w:t>3</w:t>
      </w:r>
      <w:r w:rsidR="00270104">
        <w:rPr>
          <w:lang w:val="en-GB"/>
        </w:rPr>
        <w:t>/h</w:t>
      </w:r>
      <w:r w:rsidR="00743588">
        <w:t xml:space="preserve"> fuels by </w:t>
      </w:r>
      <w:r w:rsidR="00AE344E">
        <w:t>four</w:t>
      </w:r>
      <w:r w:rsidR="00743588">
        <w:t xml:space="preserve"> crude oil refineries, one CTL synthetic plant, and one GTL synthetic plant. </w:t>
      </w:r>
    </w:p>
    <w:p w14:paraId="6D500E4A" w14:textId="0ACBC26A" w:rsidR="00A95B35" w:rsidRDefault="00A95B35" w:rsidP="00A95B35">
      <w:pPr>
        <w:pStyle w:val="CETHeading1"/>
      </w:pPr>
      <w:r>
        <w:t>Natural gas in Southern Africa</w:t>
      </w:r>
    </w:p>
    <w:p w14:paraId="4C35858E" w14:textId="512DE417" w:rsidR="006C7F68" w:rsidRDefault="00AA78CB" w:rsidP="001A274A">
      <w:pPr>
        <w:pStyle w:val="CETBodytext"/>
      </w:pPr>
      <w:r>
        <w:t xml:space="preserve">Nigeria (5.3 </w:t>
      </w:r>
      <w:r w:rsidR="00F01607">
        <w:rPr>
          <w:rFonts w:cs="Arial"/>
        </w:rPr>
        <w:t>×</w:t>
      </w:r>
      <w:r w:rsidR="00F01607">
        <w:t xml:space="preserve"> 10</w:t>
      </w:r>
      <w:r w:rsidR="00F01607">
        <w:rPr>
          <w:vertAlign w:val="superscript"/>
        </w:rPr>
        <w:t>12</w:t>
      </w:r>
      <w:r w:rsidR="00F01607">
        <w:t xml:space="preserve"> m</w:t>
      </w:r>
      <w:r w:rsidR="00F01607">
        <w:rPr>
          <w:vertAlign w:val="superscript"/>
        </w:rPr>
        <w:t>3</w:t>
      </w:r>
      <w:r>
        <w:t xml:space="preserve">), </w:t>
      </w:r>
      <w:r w:rsidR="008D558D">
        <w:t>Algeria</w:t>
      </w:r>
      <w:r w:rsidR="00AF495F">
        <w:t xml:space="preserve"> (</w:t>
      </w:r>
      <w:r>
        <w:t>4.3</w:t>
      </w:r>
      <w:r w:rsidR="00AF495F">
        <w:t xml:space="preserve"> </w:t>
      </w:r>
      <w:r w:rsidR="00F01607">
        <w:rPr>
          <w:rFonts w:cs="Arial"/>
        </w:rPr>
        <w:t>×</w:t>
      </w:r>
      <w:r w:rsidR="00F01607">
        <w:t xml:space="preserve"> 10</w:t>
      </w:r>
      <w:r w:rsidR="00F01607">
        <w:rPr>
          <w:vertAlign w:val="superscript"/>
        </w:rPr>
        <w:t>12</w:t>
      </w:r>
      <w:r w:rsidR="00F01607">
        <w:t xml:space="preserve"> m</w:t>
      </w:r>
      <w:r w:rsidR="00F01607">
        <w:rPr>
          <w:vertAlign w:val="superscript"/>
        </w:rPr>
        <w:t>3</w:t>
      </w:r>
      <w:r w:rsidR="00AF495F">
        <w:t>)</w:t>
      </w:r>
      <w:r w:rsidR="008D558D">
        <w:t xml:space="preserve"> and Egypt </w:t>
      </w:r>
      <w:r w:rsidR="00AF495F">
        <w:t>(</w:t>
      </w:r>
      <w:r>
        <w:t>2.1</w:t>
      </w:r>
      <w:r w:rsidR="00AF495F">
        <w:t xml:space="preserve"> </w:t>
      </w:r>
      <w:r w:rsidR="00F01607">
        <w:rPr>
          <w:rFonts w:cs="Arial"/>
        </w:rPr>
        <w:t>×</w:t>
      </w:r>
      <w:r w:rsidR="00F01607">
        <w:t xml:space="preserve"> 10</w:t>
      </w:r>
      <w:r w:rsidR="00F01607">
        <w:rPr>
          <w:vertAlign w:val="superscript"/>
        </w:rPr>
        <w:t>12</w:t>
      </w:r>
      <w:r w:rsidR="00F01607">
        <w:t xml:space="preserve"> m</w:t>
      </w:r>
      <w:r w:rsidR="00F01607">
        <w:rPr>
          <w:vertAlign w:val="superscript"/>
        </w:rPr>
        <w:t>3</w:t>
      </w:r>
      <w:r w:rsidR="00AF495F">
        <w:t xml:space="preserve">) </w:t>
      </w:r>
      <w:r w:rsidR="008D558D">
        <w:t>are among the world's 20 largest producers of natural gas. Major new natural gas development</w:t>
      </w:r>
      <w:r w:rsidR="001122E0">
        <w:t>s</w:t>
      </w:r>
      <w:r w:rsidR="008D558D">
        <w:t xml:space="preserve"> in Egypt, Mauritania, Mozambique, Senegal and Tanzania, accounting for over 40</w:t>
      </w:r>
      <w:r w:rsidR="00F01607">
        <w:t xml:space="preserve"> </w:t>
      </w:r>
      <w:r w:rsidR="008D558D">
        <w:t xml:space="preserve">% of global gas discoveries between 2011 and 2018 (EIA, 2019). </w:t>
      </w:r>
      <w:r w:rsidR="006C7F68">
        <w:t xml:space="preserve">Mozambique has the largest gas discovery among the new discoveries in Africa, which holds over </w:t>
      </w:r>
      <w:r>
        <w:t>2.8</w:t>
      </w:r>
      <w:r w:rsidR="006C7F68">
        <w:t xml:space="preserve"> </w:t>
      </w:r>
      <w:r w:rsidR="00F01607">
        <w:rPr>
          <w:rFonts w:cs="Arial"/>
        </w:rPr>
        <w:t>×</w:t>
      </w:r>
      <w:r w:rsidR="00F01607">
        <w:t xml:space="preserve"> 10</w:t>
      </w:r>
      <w:r w:rsidR="00F01607">
        <w:rPr>
          <w:vertAlign w:val="superscript"/>
        </w:rPr>
        <w:t>12</w:t>
      </w:r>
      <w:r w:rsidR="00F01607">
        <w:t xml:space="preserve"> m</w:t>
      </w:r>
      <w:r w:rsidR="00F01607">
        <w:rPr>
          <w:vertAlign w:val="superscript"/>
        </w:rPr>
        <w:t>3</w:t>
      </w:r>
      <w:r w:rsidR="006C7F68">
        <w:t xml:space="preserve"> of proven reserves. The Rovuma basin is an offshore gas field bordering Tanzania. Area 1 has an estimated reserve of </w:t>
      </w:r>
      <w:r w:rsidR="00BE45DF">
        <w:t>1.8</w:t>
      </w:r>
      <w:r w:rsidR="006C7F68">
        <w:t xml:space="preserve"> </w:t>
      </w:r>
      <w:r w:rsidR="00F01607">
        <w:rPr>
          <w:rFonts w:cs="Arial"/>
        </w:rPr>
        <w:t>×</w:t>
      </w:r>
      <w:r w:rsidR="00F01607">
        <w:t xml:space="preserve"> 10</w:t>
      </w:r>
      <w:r w:rsidR="00F01607">
        <w:rPr>
          <w:vertAlign w:val="superscript"/>
        </w:rPr>
        <w:t>12</w:t>
      </w:r>
      <w:r w:rsidR="00F01607">
        <w:t xml:space="preserve"> m</w:t>
      </w:r>
      <w:r w:rsidR="00F01607">
        <w:rPr>
          <w:vertAlign w:val="superscript"/>
        </w:rPr>
        <w:t>3</w:t>
      </w:r>
      <w:r w:rsidR="006C7F68">
        <w:t xml:space="preserve">, while Area 4 has an </w:t>
      </w:r>
      <w:r w:rsidR="002439EA">
        <w:t>estimated reserve</w:t>
      </w:r>
      <w:r w:rsidR="006C7F68">
        <w:t xml:space="preserve"> of </w:t>
      </w:r>
      <w:r w:rsidR="00BE45DF">
        <w:t>2.4</w:t>
      </w:r>
      <w:r w:rsidR="006C7F68">
        <w:t xml:space="preserve"> </w:t>
      </w:r>
      <w:r w:rsidR="00F01607">
        <w:rPr>
          <w:rFonts w:cs="Arial"/>
        </w:rPr>
        <w:t>×</w:t>
      </w:r>
      <w:r w:rsidR="00F01607">
        <w:t xml:space="preserve"> 10</w:t>
      </w:r>
      <w:r w:rsidR="00F01607">
        <w:rPr>
          <w:vertAlign w:val="superscript"/>
        </w:rPr>
        <w:t>12</w:t>
      </w:r>
      <w:r w:rsidR="00F01607">
        <w:t xml:space="preserve"> m</w:t>
      </w:r>
      <w:r w:rsidR="00F01607">
        <w:rPr>
          <w:vertAlign w:val="superscript"/>
        </w:rPr>
        <w:t>3</w:t>
      </w:r>
      <w:r w:rsidR="006C7F68">
        <w:t>.</w:t>
      </w:r>
    </w:p>
    <w:p w14:paraId="04C768C1" w14:textId="6DEF6588" w:rsidR="008327F9" w:rsidRPr="001A274A" w:rsidRDefault="00BA33E8" w:rsidP="001A274A">
      <w:pPr>
        <w:pStyle w:val="CETBodytext"/>
      </w:pPr>
      <w:r>
        <w:t xml:space="preserve">An onshore LNG </w:t>
      </w:r>
      <w:r w:rsidR="00873FDC">
        <w:t xml:space="preserve">(liquified natural gas) </w:t>
      </w:r>
      <w:r>
        <w:t xml:space="preserve">facility, Mozambique LNG, will be built in Carbo Delgado in Area 1 with a capacity of 12.88 </w:t>
      </w:r>
      <w:r w:rsidR="0054597B">
        <w:rPr>
          <w:rFonts w:cs="Arial"/>
        </w:rPr>
        <w:t>×</w:t>
      </w:r>
      <w:r w:rsidR="0054597B">
        <w:t xml:space="preserve"> 10</w:t>
      </w:r>
      <w:r w:rsidR="0054597B">
        <w:rPr>
          <w:vertAlign w:val="superscript"/>
        </w:rPr>
        <w:t>6</w:t>
      </w:r>
      <w:r w:rsidR="0054597B">
        <w:t xml:space="preserve"> t/y</w:t>
      </w:r>
      <w:r>
        <w:t xml:space="preserve"> by Total, while Coral FLNG (Floating liquified natural </w:t>
      </w:r>
      <w:r w:rsidR="00E36056">
        <w:t xml:space="preserve">gas) facility will be built offshore in Area 4 with a capacity of 3.4 </w:t>
      </w:r>
      <w:r w:rsidR="0054597B">
        <w:rPr>
          <w:rFonts w:cs="Arial"/>
        </w:rPr>
        <w:t>×</w:t>
      </w:r>
      <w:r w:rsidR="0054597B">
        <w:t xml:space="preserve"> 10</w:t>
      </w:r>
      <w:r w:rsidR="0054597B">
        <w:rPr>
          <w:vertAlign w:val="superscript"/>
        </w:rPr>
        <w:t>6</w:t>
      </w:r>
      <w:r w:rsidR="0054597B">
        <w:t xml:space="preserve"> t/y</w:t>
      </w:r>
      <w:r w:rsidR="00E36056">
        <w:t xml:space="preserve"> by Eni. The second onshore facility, Rovuma LNG, </w:t>
      </w:r>
      <w:r w:rsidR="00556B50">
        <w:t xml:space="preserve">will be built by </w:t>
      </w:r>
      <w:r w:rsidR="00556B50">
        <w:lastRenderedPageBreak/>
        <w:t xml:space="preserve">ExxonMobil-Eni-CNPC with a total capacity of 15.20 </w:t>
      </w:r>
      <w:r w:rsidR="0054597B">
        <w:rPr>
          <w:rFonts w:cs="Arial"/>
        </w:rPr>
        <w:t>×</w:t>
      </w:r>
      <w:r w:rsidR="0054597B">
        <w:t xml:space="preserve"> 10</w:t>
      </w:r>
      <w:r w:rsidR="0054597B">
        <w:rPr>
          <w:vertAlign w:val="superscript"/>
        </w:rPr>
        <w:t>6</w:t>
      </w:r>
      <w:r w:rsidR="0054597B">
        <w:t xml:space="preserve"> t/y</w:t>
      </w:r>
      <w:r w:rsidR="00556B50">
        <w:t xml:space="preserve">. </w:t>
      </w:r>
      <w:r w:rsidR="008327F9">
        <w:t xml:space="preserve">Tanzania’s natural gas reserve is estimated at </w:t>
      </w:r>
      <w:r w:rsidR="00BE45DF">
        <w:t>1.6</w:t>
      </w:r>
      <w:r w:rsidR="008327F9">
        <w:t xml:space="preserve"> </w:t>
      </w:r>
      <w:r w:rsidR="001C0521">
        <w:rPr>
          <w:rFonts w:cs="Arial"/>
        </w:rPr>
        <w:t>×</w:t>
      </w:r>
      <w:r w:rsidR="001C0521">
        <w:t xml:space="preserve"> 10</w:t>
      </w:r>
      <w:r w:rsidR="001C0521">
        <w:rPr>
          <w:vertAlign w:val="superscript"/>
        </w:rPr>
        <w:t>12</w:t>
      </w:r>
      <w:r w:rsidR="001C0521">
        <w:t xml:space="preserve"> m</w:t>
      </w:r>
      <w:r w:rsidR="001C0521">
        <w:rPr>
          <w:vertAlign w:val="superscript"/>
        </w:rPr>
        <w:t>3</w:t>
      </w:r>
      <w:r w:rsidR="008327F9">
        <w:t xml:space="preserve"> in three fields, </w:t>
      </w:r>
      <w:proofErr w:type="spellStart"/>
      <w:r w:rsidR="008327F9">
        <w:t>Songo</w:t>
      </w:r>
      <w:proofErr w:type="spellEnd"/>
      <w:r w:rsidR="008327F9">
        <w:t xml:space="preserve"> </w:t>
      </w:r>
      <w:proofErr w:type="spellStart"/>
      <w:r w:rsidR="008327F9">
        <w:t>Songo</w:t>
      </w:r>
      <w:proofErr w:type="spellEnd"/>
      <w:r w:rsidR="008327F9">
        <w:t xml:space="preserve">, Mnazi Bay and </w:t>
      </w:r>
      <w:proofErr w:type="spellStart"/>
      <w:r w:rsidR="008327F9">
        <w:t>Kiliwani</w:t>
      </w:r>
      <w:proofErr w:type="spellEnd"/>
      <w:r w:rsidR="008327F9">
        <w:t xml:space="preserve"> North. TLNGP (Tanzania Liquified Natural Gas Project) is the only LNG export terminal</w:t>
      </w:r>
      <w:r w:rsidR="001144DF">
        <w:t xml:space="preserve"> in Tanzania. The project </w:t>
      </w:r>
      <w:proofErr w:type="gramStart"/>
      <w:r w:rsidR="001144DF">
        <w:t>is located in</w:t>
      </w:r>
      <w:proofErr w:type="gramEnd"/>
      <w:r w:rsidR="001144DF">
        <w:t xml:space="preserve"> the town of </w:t>
      </w:r>
      <w:proofErr w:type="spellStart"/>
      <w:r w:rsidR="001144DF">
        <w:t>Lindi</w:t>
      </w:r>
      <w:proofErr w:type="spellEnd"/>
      <w:r w:rsidR="001144DF">
        <w:t xml:space="preserve"> on the Indian ocean coast.</w:t>
      </w:r>
      <w:r w:rsidR="00490619">
        <w:t xml:space="preserve"> </w:t>
      </w:r>
      <w:r w:rsidR="001144DF">
        <w:t xml:space="preserve">The construction of the onshore LNG export terminal is expected to start in 2022 and will be concluded in 2028. The LNG plant will have capacity to produce 10 </w:t>
      </w:r>
      <w:r w:rsidR="0054597B">
        <w:rPr>
          <w:rFonts w:cs="Arial"/>
        </w:rPr>
        <w:t>×</w:t>
      </w:r>
      <w:r w:rsidR="0054597B">
        <w:t xml:space="preserve"> 10</w:t>
      </w:r>
      <w:r w:rsidR="0054597B">
        <w:rPr>
          <w:vertAlign w:val="superscript"/>
        </w:rPr>
        <w:t>6</w:t>
      </w:r>
      <w:r w:rsidR="0054597B">
        <w:t xml:space="preserve"> t/y</w:t>
      </w:r>
      <w:r w:rsidR="001144DF">
        <w:t xml:space="preserve"> of liquified natural gas by a consortium led by Equinor, along side Royal Du</w:t>
      </w:r>
      <w:r w:rsidR="005779D0">
        <w:t xml:space="preserve">tch Shell, ExxonMobil, Ophir Energy and Pavilion Energy. </w:t>
      </w:r>
      <w:r w:rsidR="008327F9">
        <w:t xml:space="preserve"> </w:t>
      </w:r>
    </w:p>
    <w:p w14:paraId="4F3A69D3" w14:textId="0C0160A0" w:rsidR="000F2F6B" w:rsidRDefault="000F2F6B" w:rsidP="00A95B35">
      <w:pPr>
        <w:pStyle w:val="CETHeading1"/>
      </w:pPr>
      <w:r>
        <w:t>Natural gas import to South Africa</w:t>
      </w:r>
    </w:p>
    <w:p w14:paraId="74C4374A" w14:textId="5C1FE6A6" w:rsidR="002230D3" w:rsidRDefault="000F2F6B" w:rsidP="000F2F6B">
      <w:pPr>
        <w:pStyle w:val="CETBodytext"/>
      </w:pPr>
      <w:r>
        <w:t>The international climate change and carbon reduction commitment</w:t>
      </w:r>
      <w:r w:rsidR="00BD7A77">
        <w:t>s made by the</w:t>
      </w:r>
      <w:r>
        <w:t xml:space="preserve"> </w:t>
      </w:r>
      <w:r w:rsidR="00BD7A77">
        <w:t xml:space="preserve">South African government </w:t>
      </w:r>
      <w:r>
        <w:t xml:space="preserve">can be </w:t>
      </w:r>
      <w:r w:rsidR="00613F7B">
        <w:t>satisfied</w:t>
      </w:r>
      <w:r>
        <w:t xml:space="preserve"> by integrating natural gas in the South Africa’s future energy mix diversification. </w:t>
      </w:r>
      <w:r w:rsidR="002230D3">
        <w:t xml:space="preserve">The Integrated Resource Plan 2019 aim to increase natural gas in the energy mix from </w:t>
      </w:r>
      <w:r w:rsidR="00873FDC">
        <w:t>3.1</w:t>
      </w:r>
      <w:r w:rsidR="001C0521">
        <w:t xml:space="preserve"> </w:t>
      </w:r>
      <w:r w:rsidR="002230D3">
        <w:t>% to 15.7</w:t>
      </w:r>
      <w:r w:rsidR="001C0521">
        <w:t xml:space="preserve"> </w:t>
      </w:r>
      <w:r w:rsidR="002230D3">
        <w:t>% by 2030.</w:t>
      </w:r>
      <w:r w:rsidR="0058268F">
        <w:t xml:space="preserve"> </w:t>
      </w:r>
      <w:r w:rsidR="002230D3">
        <w:t xml:space="preserve">The utilization options for natural gas in South Africa are electricity generation, industrial, transportation and commercial/residential sectors, while electricity generation is the biggest immediate demand for natural gas. </w:t>
      </w:r>
      <w:r w:rsidR="00613F7B">
        <w:t xml:space="preserve">Gas to power and coal to gas switching programs are the ideal solutions to solve the </w:t>
      </w:r>
      <w:r w:rsidR="00A55B0C">
        <w:t>outdated</w:t>
      </w:r>
      <w:r w:rsidR="00613F7B">
        <w:t xml:space="preserve"> coal to power infrastructure, reduce cyclical energy shortfalls</w:t>
      </w:r>
      <w:r w:rsidR="00A55B0C">
        <w:t xml:space="preserve"> (electricity </w:t>
      </w:r>
      <w:r w:rsidR="00A55B0C" w:rsidRPr="0056441F">
        <w:t>load</w:t>
      </w:r>
      <w:r w:rsidR="0056441F" w:rsidRPr="0056441F">
        <w:t xml:space="preserve"> shedding</w:t>
      </w:r>
      <w:r w:rsidR="00A55B0C">
        <w:t>),</w:t>
      </w:r>
      <w:r w:rsidR="00613F7B">
        <w:t xml:space="preserve"> reducing </w:t>
      </w:r>
      <w:r w:rsidR="00A55B0C">
        <w:t>CO</w:t>
      </w:r>
      <w:r w:rsidR="00A55B0C" w:rsidRPr="00A55B0C">
        <w:rPr>
          <w:vertAlign w:val="subscript"/>
        </w:rPr>
        <w:t>2</w:t>
      </w:r>
      <w:r w:rsidR="00A55B0C">
        <w:t xml:space="preserve"> emissions, enhancing energy security by adding generating capacity and supporting industrial development.  </w:t>
      </w:r>
    </w:p>
    <w:p w14:paraId="13C5273E" w14:textId="3D8602F2" w:rsidR="000B1A94" w:rsidRDefault="00A55B0C" w:rsidP="000F2F6B">
      <w:pPr>
        <w:pStyle w:val="CETBodytext"/>
      </w:pPr>
      <w:r>
        <w:t xml:space="preserve">The two options for importing natural gas </w:t>
      </w:r>
      <w:r w:rsidR="001A3517">
        <w:t xml:space="preserve">to South Africa are pipeline and LNG. </w:t>
      </w:r>
      <w:r w:rsidR="002A467F">
        <w:t>The clos</w:t>
      </w:r>
      <w:r w:rsidR="00A022FC">
        <w:t>est</w:t>
      </w:r>
      <w:r w:rsidR="002A467F">
        <w:t xml:space="preserve"> significant natural gas reserves are in Mozambique for large scale pipeline capacity. </w:t>
      </w:r>
      <w:r w:rsidR="00652DC5">
        <w:t xml:space="preserve">Sasol’s Pande and </w:t>
      </w:r>
      <w:proofErr w:type="spellStart"/>
      <w:r w:rsidR="00652DC5">
        <w:t>Temane</w:t>
      </w:r>
      <w:proofErr w:type="spellEnd"/>
      <w:r w:rsidR="00652DC5">
        <w:t xml:space="preserve"> gas supply to South Africa via ROMPCO pipeline is expected to decline by September 2023 (SAGMP, 2021). </w:t>
      </w:r>
      <w:r w:rsidR="006D48B2">
        <w:t>A new 2</w:t>
      </w:r>
      <w:r w:rsidR="006E24E1">
        <w:t>,</w:t>
      </w:r>
      <w:r w:rsidR="006D48B2">
        <w:t xml:space="preserve">600 km pipeline is planned to tap natural gas from Rovuma field in Northern Mozambique to Gauteng, South Africa. </w:t>
      </w:r>
      <w:r w:rsidR="000A1109">
        <w:t xml:space="preserve">A cooperation agreement has been signed between ENH, </w:t>
      </w:r>
      <w:proofErr w:type="spellStart"/>
      <w:r w:rsidR="000A1109">
        <w:t>Profin</w:t>
      </w:r>
      <w:proofErr w:type="spellEnd"/>
      <w:r w:rsidR="000A1109">
        <w:t xml:space="preserve"> Consulting, </w:t>
      </w:r>
      <w:proofErr w:type="spellStart"/>
      <w:r w:rsidR="000A1109">
        <w:t>SacOil</w:t>
      </w:r>
      <w:proofErr w:type="spellEnd"/>
      <w:r w:rsidR="000A1109">
        <w:t xml:space="preserve"> and China Petroleum Pipeline Bureau. The existing South Africa gas pipeline extended </w:t>
      </w:r>
      <w:r w:rsidR="00A419C2">
        <w:t xml:space="preserve">from Pande and </w:t>
      </w:r>
      <w:proofErr w:type="spellStart"/>
      <w:r w:rsidR="00A419C2">
        <w:t>Temane</w:t>
      </w:r>
      <w:proofErr w:type="spellEnd"/>
      <w:r w:rsidR="00A419C2">
        <w:t xml:space="preserve"> gas fields to </w:t>
      </w:r>
      <w:proofErr w:type="spellStart"/>
      <w:r w:rsidR="00A419C2">
        <w:t>Secunda</w:t>
      </w:r>
      <w:proofErr w:type="spellEnd"/>
      <w:r w:rsidR="00A419C2">
        <w:t xml:space="preserve"> via </w:t>
      </w:r>
      <w:r w:rsidR="005B4531">
        <w:t xml:space="preserve">865 km </w:t>
      </w:r>
      <w:r w:rsidR="00A419C2">
        <w:t xml:space="preserve">ROMPCO </w:t>
      </w:r>
      <w:r w:rsidR="005B4531">
        <w:t>pipeline</w:t>
      </w:r>
      <w:r w:rsidR="00285384">
        <w:t xml:space="preserve"> with an annual capacity of </w:t>
      </w:r>
      <w:r w:rsidR="00BE45DF">
        <w:t>5.3</w:t>
      </w:r>
      <w:r w:rsidR="00285384">
        <w:t xml:space="preserve"> </w:t>
      </w:r>
      <w:r w:rsidR="001C0521">
        <w:rPr>
          <w:rFonts w:cs="Arial"/>
        </w:rPr>
        <w:t>×</w:t>
      </w:r>
      <w:r w:rsidR="001C0521">
        <w:t xml:space="preserve"> 10</w:t>
      </w:r>
      <w:r w:rsidR="001C0521">
        <w:rPr>
          <w:vertAlign w:val="superscript"/>
        </w:rPr>
        <w:t>9</w:t>
      </w:r>
      <w:r w:rsidR="001C0521">
        <w:t xml:space="preserve"> m</w:t>
      </w:r>
      <w:r w:rsidR="001C0521">
        <w:rPr>
          <w:vertAlign w:val="superscript"/>
        </w:rPr>
        <w:t>3</w:t>
      </w:r>
      <w:r w:rsidR="00A419C2">
        <w:t xml:space="preserve">, </w:t>
      </w:r>
      <w:r w:rsidR="00845EF4">
        <w:t xml:space="preserve">the Sasol </w:t>
      </w:r>
      <w:r w:rsidR="005B4531">
        <w:t>Gas 1</w:t>
      </w:r>
      <w:r w:rsidR="006E24E1">
        <w:t>,</w:t>
      </w:r>
      <w:r w:rsidR="005B4531">
        <w:t xml:space="preserve">080 km </w:t>
      </w:r>
      <w:r w:rsidR="00845EF4">
        <w:t xml:space="preserve">distribution pipeline from </w:t>
      </w:r>
      <w:proofErr w:type="spellStart"/>
      <w:r w:rsidR="00845EF4">
        <w:t>Secunda</w:t>
      </w:r>
      <w:proofErr w:type="spellEnd"/>
      <w:r w:rsidR="008B1186">
        <w:t>, to</w:t>
      </w:r>
      <w:r w:rsidR="00845EF4">
        <w:t xml:space="preserve"> </w:t>
      </w:r>
      <w:r w:rsidR="005B4531">
        <w:t>Pretoria</w:t>
      </w:r>
      <w:r w:rsidR="008B1186">
        <w:t xml:space="preserve">, </w:t>
      </w:r>
      <w:proofErr w:type="gramStart"/>
      <w:r w:rsidR="008B1186">
        <w:t>Johannesburg</w:t>
      </w:r>
      <w:proofErr w:type="gramEnd"/>
      <w:r w:rsidR="008B1186">
        <w:t xml:space="preserve"> and Sasolburg</w:t>
      </w:r>
      <w:r w:rsidR="00845EF4">
        <w:t xml:space="preserve">, </w:t>
      </w:r>
      <w:r w:rsidR="008B1186">
        <w:t xml:space="preserve">as well as the </w:t>
      </w:r>
      <w:proofErr w:type="spellStart"/>
      <w:r w:rsidR="008B1186">
        <w:t>Secunda</w:t>
      </w:r>
      <w:proofErr w:type="spellEnd"/>
      <w:r w:rsidR="008B1186">
        <w:t xml:space="preserve">-Witbank-Middelburg distribution pipeline in Mpumalanga Province.  </w:t>
      </w:r>
      <w:r w:rsidR="00285384">
        <w:t xml:space="preserve">Sasol Gas has an annual transmission capacity of nearly </w:t>
      </w:r>
      <w:r w:rsidR="00BE45DF">
        <w:t>4.5</w:t>
      </w:r>
      <w:r w:rsidR="00285384">
        <w:t xml:space="preserve"> </w:t>
      </w:r>
      <w:r w:rsidR="006E24E1">
        <w:rPr>
          <w:rFonts w:cs="Arial"/>
        </w:rPr>
        <w:t>×</w:t>
      </w:r>
      <w:r w:rsidR="006E24E1">
        <w:t xml:space="preserve"> 10</w:t>
      </w:r>
      <w:r w:rsidR="006E24E1">
        <w:rPr>
          <w:vertAlign w:val="superscript"/>
        </w:rPr>
        <w:t>9</w:t>
      </w:r>
      <w:r w:rsidR="006E24E1">
        <w:t xml:space="preserve"> m</w:t>
      </w:r>
      <w:r w:rsidR="006E24E1">
        <w:rPr>
          <w:vertAlign w:val="superscript"/>
        </w:rPr>
        <w:t>3</w:t>
      </w:r>
      <w:r w:rsidR="00285384">
        <w:t xml:space="preserve">. </w:t>
      </w:r>
      <w:r w:rsidR="00FA6EBE">
        <w:t>The methane rich gas (MRG),</w:t>
      </w:r>
      <w:r w:rsidR="00845EF4">
        <w:t xml:space="preserve"> </w:t>
      </w:r>
      <w:r w:rsidR="00FA6EBE">
        <w:t>produce</w:t>
      </w:r>
      <w:r w:rsidR="00032F1B">
        <w:t>d</w:t>
      </w:r>
      <w:r w:rsidR="00FA6EBE">
        <w:t xml:space="preserve"> and supplied by Sasol Synfuels from </w:t>
      </w:r>
      <w:proofErr w:type="spellStart"/>
      <w:r w:rsidR="00FA6EBE">
        <w:t>Secunda</w:t>
      </w:r>
      <w:proofErr w:type="spellEnd"/>
      <w:r w:rsidR="00FA6EBE">
        <w:t xml:space="preserve"> CTL plant, is </w:t>
      </w:r>
      <w:r w:rsidR="00845EF4">
        <w:t>connect</w:t>
      </w:r>
      <w:r w:rsidR="00FA6EBE">
        <w:t xml:space="preserve">ed </w:t>
      </w:r>
      <w:r w:rsidR="00845EF4">
        <w:t xml:space="preserve">to </w:t>
      </w:r>
      <w:r w:rsidR="00FA6EBE">
        <w:t xml:space="preserve">Durban via </w:t>
      </w:r>
      <w:r w:rsidR="00F91D87">
        <w:t xml:space="preserve">573 km </w:t>
      </w:r>
      <w:r w:rsidR="00845EF4">
        <w:t>Transnet ‘s Lilly pipeline</w:t>
      </w:r>
      <w:r w:rsidR="00F91D87">
        <w:t xml:space="preserve">, which passes </w:t>
      </w:r>
      <w:r w:rsidR="00845EF4">
        <w:t>Richards Bay</w:t>
      </w:r>
      <w:r w:rsidR="00285384">
        <w:t xml:space="preserve"> with an annual capacity of 0.</w:t>
      </w:r>
      <w:r w:rsidR="00BE45DF">
        <w:t xml:space="preserve">56 </w:t>
      </w:r>
      <w:r w:rsidR="001C0521">
        <w:rPr>
          <w:rFonts w:cs="Arial"/>
        </w:rPr>
        <w:t>×</w:t>
      </w:r>
      <w:r w:rsidR="001C0521">
        <w:t xml:space="preserve"> 10</w:t>
      </w:r>
      <w:r w:rsidR="001C0521">
        <w:rPr>
          <w:vertAlign w:val="superscript"/>
        </w:rPr>
        <w:t>9</w:t>
      </w:r>
      <w:r w:rsidR="001C0521">
        <w:t xml:space="preserve"> m</w:t>
      </w:r>
      <w:r w:rsidR="001C0521">
        <w:rPr>
          <w:vertAlign w:val="superscript"/>
        </w:rPr>
        <w:t>3</w:t>
      </w:r>
      <w:r w:rsidR="00845EF4">
        <w:t>.</w:t>
      </w:r>
    </w:p>
    <w:p w14:paraId="4B3DFA47" w14:textId="255EC243" w:rsidR="00A022FC" w:rsidRDefault="000B1A94" w:rsidP="000F2F6B">
      <w:pPr>
        <w:pStyle w:val="CETBodytext"/>
      </w:pPr>
      <w:r>
        <w:t xml:space="preserve">An LNG import terminal is comprised of an LNG storage tanks and re-gasification unit, which must be at the coast. The obvious </w:t>
      </w:r>
      <w:r w:rsidR="00873FDC">
        <w:t>ex</w:t>
      </w:r>
      <w:r>
        <w:t>port countries closer to South Africa are Nigeria (</w:t>
      </w:r>
      <w:r w:rsidR="001600B4">
        <w:t xml:space="preserve">23.5 </w:t>
      </w:r>
      <w:r w:rsidR="0054597B">
        <w:rPr>
          <w:rFonts w:cs="Arial"/>
        </w:rPr>
        <w:t>×</w:t>
      </w:r>
      <w:r w:rsidR="0054597B">
        <w:t xml:space="preserve"> 10</w:t>
      </w:r>
      <w:r w:rsidR="0054597B">
        <w:rPr>
          <w:vertAlign w:val="superscript"/>
        </w:rPr>
        <w:t>6</w:t>
      </w:r>
      <w:r w:rsidR="0054597B">
        <w:t xml:space="preserve"> t/y</w:t>
      </w:r>
      <w:r>
        <w:t>), Angola (</w:t>
      </w:r>
      <w:r w:rsidR="00D27CBE">
        <w:t xml:space="preserve">5.2 </w:t>
      </w:r>
      <w:r w:rsidR="0054597B">
        <w:rPr>
          <w:rFonts w:cs="Arial"/>
        </w:rPr>
        <w:t>×</w:t>
      </w:r>
      <w:r w:rsidR="0054597B">
        <w:t xml:space="preserve"> 10</w:t>
      </w:r>
      <w:r w:rsidR="0054597B">
        <w:rPr>
          <w:vertAlign w:val="superscript"/>
        </w:rPr>
        <w:t>6</w:t>
      </w:r>
      <w:r w:rsidR="0054597B">
        <w:t xml:space="preserve"> t/y</w:t>
      </w:r>
      <w:r>
        <w:t>), Algeria (</w:t>
      </w:r>
      <w:r w:rsidR="001600B4">
        <w:t xml:space="preserve">32.3 </w:t>
      </w:r>
      <w:r w:rsidR="0054597B">
        <w:rPr>
          <w:rFonts w:cs="Arial"/>
        </w:rPr>
        <w:t>×</w:t>
      </w:r>
      <w:r w:rsidR="0054597B">
        <w:t xml:space="preserve"> 10</w:t>
      </w:r>
      <w:r w:rsidR="0054597B">
        <w:rPr>
          <w:vertAlign w:val="superscript"/>
        </w:rPr>
        <w:t>6</w:t>
      </w:r>
      <w:r w:rsidR="0054597B">
        <w:t xml:space="preserve"> t/y</w:t>
      </w:r>
      <w:r>
        <w:t>) and Qatar (</w:t>
      </w:r>
      <w:r w:rsidR="001600B4">
        <w:t xml:space="preserve">77.4 </w:t>
      </w:r>
      <w:r w:rsidR="003D0EF6">
        <w:rPr>
          <w:rFonts w:cs="Arial"/>
        </w:rPr>
        <w:t>×</w:t>
      </w:r>
      <w:r w:rsidR="003D0EF6">
        <w:t xml:space="preserve"> 10</w:t>
      </w:r>
      <w:r w:rsidR="003D0EF6">
        <w:rPr>
          <w:vertAlign w:val="superscript"/>
        </w:rPr>
        <w:t>6</w:t>
      </w:r>
      <w:r w:rsidR="003D0EF6">
        <w:t xml:space="preserve"> t/y</w:t>
      </w:r>
      <w:r>
        <w:t xml:space="preserve">). </w:t>
      </w:r>
      <w:r w:rsidR="00845EF4">
        <w:t xml:space="preserve"> </w:t>
      </w:r>
      <w:r w:rsidR="00D27CBE">
        <w:t>When the new LNG export terminals in Mozambique and Tanzania come on stream, the</w:t>
      </w:r>
      <w:r w:rsidR="000F6E3F">
        <w:t>se</w:t>
      </w:r>
      <w:r w:rsidR="00D27CBE">
        <w:t xml:space="preserve"> will be the ideal supplier</w:t>
      </w:r>
      <w:r w:rsidR="00B82718">
        <w:t>s</w:t>
      </w:r>
      <w:r w:rsidR="00D27CBE">
        <w:t xml:space="preserve"> of LNG to South Africa, due to the </w:t>
      </w:r>
      <w:r w:rsidR="00A022FC">
        <w:t>proximity</w:t>
      </w:r>
      <w:r w:rsidR="00D27CBE">
        <w:t xml:space="preserve">. There are three </w:t>
      </w:r>
      <w:r w:rsidR="00EF0276">
        <w:t>harbors</w:t>
      </w:r>
      <w:r w:rsidR="00D27CBE">
        <w:t xml:space="preserve"> that can be used as LNG import terminal</w:t>
      </w:r>
      <w:r w:rsidR="00B82718">
        <w:t>s</w:t>
      </w:r>
      <w:r w:rsidR="00D27CBE">
        <w:t>, namely, Richards Bay</w:t>
      </w:r>
      <w:r w:rsidR="00EF0276">
        <w:t xml:space="preserve"> in KwaZulu Natal, </w:t>
      </w:r>
      <w:proofErr w:type="spellStart"/>
      <w:r w:rsidR="00EF0276">
        <w:t>Coega</w:t>
      </w:r>
      <w:proofErr w:type="spellEnd"/>
      <w:r w:rsidR="00EF0276">
        <w:t xml:space="preserve"> in </w:t>
      </w:r>
      <w:r w:rsidR="00873FDC">
        <w:t xml:space="preserve">the </w:t>
      </w:r>
      <w:r w:rsidR="00EF0276">
        <w:t xml:space="preserve">Eastern Cape, and Saldanha Bay in the Western Cape. Richards Bay is by far the harbor of </w:t>
      </w:r>
      <w:proofErr w:type="gramStart"/>
      <w:r w:rsidR="00EF0276">
        <w:t>choice, because</w:t>
      </w:r>
      <w:proofErr w:type="gramEnd"/>
      <w:r w:rsidR="00EF0276">
        <w:t xml:space="preserve"> it is the closest to Mozambique</w:t>
      </w:r>
      <w:r w:rsidR="000F6E3F">
        <w:t>. Furthermore,</w:t>
      </w:r>
      <w:r w:rsidR="00EF0276">
        <w:t xml:space="preserve"> the Lilly pipeline</w:t>
      </w:r>
      <w:r w:rsidR="00D22B64">
        <w:t xml:space="preserve"> can provide natural gas northwards to Gauteng, as well as southwards to Durban</w:t>
      </w:r>
      <w:r w:rsidR="00A022FC">
        <w:t>. An LNG import terminal in Richards</w:t>
      </w:r>
      <w:r w:rsidR="007954C6">
        <w:t xml:space="preserve"> Bay is favored over a pipeline from Mozambique, because of the instability in the northern Mozambique, which already delayed the LNG plants. </w:t>
      </w:r>
      <w:r w:rsidR="00EE70C1">
        <w:t xml:space="preserve">The LNG import terminal has another advantage over a pipeline. The LNG import terminal can be onshore, but for fast use of the gas, the LNG terminal can be a floating storage and regasification unit </w:t>
      </w:r>
      <w:r w:rsidR="008801F0">
        <w:t>(FSRU) which can be rented from the international market</w:t>
      </w:r>
      <w:r w:rsidR="005D7558">
        <w:t xml:space="preserve">. </w:t>
      </w:r>
    </w:p>
    <w:p w14:paraId="71DDEAAE" w14:textId="1010EC06" w:rsidR="00A95B35" w:rsidRDefault="00A95B35" w:rsidP="00A95B35">
      <w:pPr>
        <w:pStyle w:val="CETHeading1"/>
      </w:pPr>
      <w:r>
        <w:t>The role of natural gas in electricity production</w:t>
      </w:r>
    </w:p>
    <w:p w14:paraId="3F92F016" w14:textId="68D52EA3" w:rsidR="00F37040" w:rsidRDefault="001F3BE0" w:rsidP="001C1EB0">
      <w:pPr>
        <w:pStyle w:val="CETBodytext"/>
      </w:pPr>
      <w:r w:rsidRPr="001F3BE0">
        <w:t xml:space="preserve">The global demand for </w:t>
      </w:r>
      <w:r>
        <w:t>n</w:t>
      </w:r>
      <w:r w:rsidRPr="001F3BE0">
        <w:t xml:space="preserve">atural gas </w:t>
      </w:r>
      <w:r w:rsidR="00A0471F">
        <w:t>is expected to grow, mainly for power generation. Furthermore, the trend of switching coal to gas in power generation is endorsed by most countries in particular the USA and Europe.</w:t>
      </w:r>
      <w:r w:rsidR="0058268F">
        <w:t xml:space="preserve"> </w:t>
      </w:r>
      <w:r w:rsidR="00A0471F">
        <w:t>Since South Africa’s electricity generation rel</w:t>
      </w:r>
      <w:r>
        <w:t>ies</w:t>
      </w:r>
      <w:r w:rsidR="00A0471F">
        <w:t xml:space="preserve"> </w:t>
      </w:r>
      <w:r w:rsidR="00C13BD4">
        <w:t xml:space="preserve">heavily on coal, natural gas switching can play a vital role in providing reliable electricity. Furthermore, gas fired power plant can add the </w:t>
      </w:r>
      <w:r w:rsidR="00EF2786">
        <w:t>much-needed</w:t>
      </w:r>
      <w:r w:rsidR="00C13BD4">
        <w:t xml:space="preserve"> electricity capacity to the grid. Converting mothballed coal fired power plants to run on natural gas can save substantial time and capital expenditure when compared with building new generation facilities. There are six coal fired power plants reaching end of life cycle by 2030</w:t>
      </w:r>
      <w:r w:rsidR="0020211B">
        <w:t>, with a total capacity of 10</w:t>
      </w:r>
      <w:r w:rsidR="002B5C51">
        <w:t>,</w:t>
      </w:r>
      <w:r w:rsidR="0020211B">
        <w:t xml:space="preserve">711 MW. These plants can have complete conversion to natural gas, in particular they are in the same region in Mpumalanga, and </w:t>
      </w:r>
      <w:proofErr w:type="gramStart"/>
      <w:r w:rsidR="0020211B">
        <w:t>also</w:t>
      </w:r>
      <w:proofErr w:type="gramEnd"/>
      <w:r w:rsidR="0020211B">
        <w:t xml:space="preserve"> they have access to Sasol Gas distribution network </w:t>
      </w:r>
      <w:proofErr w:type="spellStart"/>
      <w:r w:rsidR="0020211B">
        <w:t>Secunda</w:t>
      </w:r>
      <w:proofErr w:type="spellEnd"/>
      <w:r w:rsidR="0020211B">
        <w:t xml:space="preserve">-Witbank-Middelburg. The new pipeline from Mozambique Rovuma field can supply gas to these plants. </w:t>
      </w:r>
      <w:r w:rsidR="0025128E">
        <w:t>There are six OCGT plants, with a total capacity of 3</w:t>
      </w:r>
      <w:r w:rsidR="002B5C51">
        <w:t>,</w:t>
      </w:r>
      <w:r w:rsidR="0025128E">
        <w:t>763 MW, currently utilizing diesel as fuel source. These OCGT plants could be powered by natural gas. There is only one OCGT plant (</w:t>
      </w:r>
      <w:r w:rsidR="00A708E6">
        <w:t>i.e.,</w:t>
      </w:r>
      <w:r w:rsidR="0025128E">
        <w:t xml:space="preserve"> Avon, KwaZulu Natal), which have access to Transnet’s Lilly pipeline</w:t>
      </w:r>
      <w:r w:rsidR="002827DA">
        <w:t>.</w:t>
      </w:r>
      <w:r w:rsidR="003C3E1E">
        <w:t xml:space="preserve"> </w:t>
      </w:r>
      <w:r w:rsidR="002827DA">
        <w:t>Delta Natural Gas (DNG) Energy is busy constructing a 125</w:t>
      </w:r>
      <w:r w:rsidR="00291CA6">
        <w:t>,</w:t>
      </w:r>
      <w:r w:rsidR="002827DA">
        <w:t>000 m</w:t>
      </w:r>
      <w:r w:rsidR="002827DA" w:rsidRPr="005F21FB">
        <w:rPr>
          <w:vertAlign w:val="superscript"/>
        </w:rPr>
        <w:t>3</w:t>
      </w:r>
      <w:r w:rsidR="002827DA">
        <w:t xml:space="preserve"> floating LNG storage unit in the port of </w:t>
      </w:r>
      <w:proofErr w:type="spellStart"/>
      <w:r w:rsidR="002827DA">
        <w:t>Coega</w:t>
      </w:r>
      <w:proofErr w:type="spellEnd"/>
      <w:r w:rsidR="002827DA">
        <w:t xml:space="preserve"> in the Eastern Cape. This unit could supply </w:t>
      </w:r>
      <w:proofErr w:type="spellStart"/>
      <w:r w:rsidR="002827DA">
        <w:t>Dedisa</w:t>
      </w:r>
      <w:proofErr w:type="spellEnd"/>
      <w:r w:rsidR="002827DA">
        <w:t xml:space="preserve"> </w:t>
      </w:r>
      <w:r w:rsidR="008867FA">
        <w:t xml:space="preserve">and </w:t>
      </w:r>
      <w:r w:rsidR="002827DA">
        <w:t>peaking power plant with natural gas.</w:t>
      </w:r>
      <w:r w:rsidR="003C3E1E">
        <w:t xml:space="preserve"> </w:t>
      </w:r>
      <w:r w:rsidR="002827DA">
        <w:t xml:space="preserve">A similar approach can be applied to the other OCGT plants, </w:t>
      </w:r>
      <w:r w:rsidR="0098587A">
        <w:t xml:space="preserve">such as importing LNG in Saldanha Bay could supply </w:t>
      </w:r>
      <w:proofErr w:type="spellStart"/>
      <w:r w:rsidR="0098587A">
        <w:t>Ankerling</w:t>
      </w:r>
      <w:proofErr w:type="spellEnd"/>
      <w:r w:rsidR="0098587A">
        <w:t xml:space="preserve"> and Acacia peaking </w:t>
      </w:r>
      <w:r w:rsidR="0098587A">
        <w:lastRenderedPageBreak/>
        <w:t>power plants. Furthermore, the existing open cycle gas turbine (OCGT) plants could be converted to c</w:t>
      </w:r>
      <w:r w:rsidR="00562870">
        <w:t xml:space="preserve">lose </w:t>
      </w:r>
      <w:r w:rsidR="0098587A">
        <w:t xml:space="preserve">cycle gas turbine (CCGT) plants. </w:t>
      </w:r>
    </w:p>
    <w:p w14:paraId="76107FC6" w14:textId="5266565A" w:rsidR="00C13BD4" w:rsidRPr="001C1EB0" w:rsidRDefault="008E0A3E" w:rsidP="001C1EB0">
      <w:pPr>
        <w:pStyle w:val="CETBodytext"/>
      </w:pPr>
      <w:r>
        <w:t>An LNG import terminal is the best option for South Africa to accelerate the penetration of natural gas in the energy mix. Furthermore, gas to power can add new generation capacity to South Africa. These new generating capacit</w:t>
      </w:r>
      <w:r w:rsidR="006D010A">
        <w:t>ies</w:t>
      </w:r>
      <w:r>
        <w:t xml:space="preserve"> can be as follows: a 3</w:t>
      </w:r>
      <w:r w:rsidR="00291CA6">
        <w:t>,</w:t>
      </w:r>
      <w:r>
        <w:t>000 MW gas fired power plant</w:t>
      </w:r>
      <w:r w:rsidR="00452907">
        <w:t xml:space="preserve"> in Richards Bay, also two gas fired power plants at </w:t>
      </w:r>
      <w:proofErr w:type="spellStart"/>
      <w:r w:rsidR="00452907">
        <w:t>Coega</w:t>
      </w:r>
      <w:proofErr w:type="spellEnd"/>
      <w:r w:rsidR="00452907">
        <w:t xml:space="preserve"> and Saldanha</w:t>
      </w:r>
      <w:r w:rsidR="0020211B">
        <w:t xml:space="preserve"> </w:t>
      </w:r>
      <w:r w:rsidR="00873FDC">
        <w:t xml:space="preserve">Bay </w:t>
      </w:r>
      <w:r w:rsidR="00452907">
        <w:t>can be built with 1</w:t>
      </w:r>
      <w:r w:rsidR="00291CA6">
        <w:t>,</w:t>
      </w:r>
      <w:r w:rsidR="00452907">
        <w:t xml:space="preserve">600 MW capacity each. </w:t>
      </w:r>
      <w:r w:rsidR="006D010A">
        <w:t xml:space="preserve">Furthermore, natural gas will be available in Johannesburg, </w:t>
      </w:r>
      <w:r w:rsidR="006059F8">
        <w:t>then</w:t>
      </w:r>
      <w:r w:rsidR="006D010A">
        <w:t xml:space="preserve"> a 1</w:t>
      </w:r>
      <w:r w:rsidR="00291CA6">
        <w:t>,</w:t>
      </w:r>
      <w:r w:rsidR="006D010A">
        <w:t xml:space="preserve">600 MW gas fired power plant can be built. </w:t>
      </w:r>
      <w:r w:rsidR="00452907">
        <w:t xml:space="preserve">These new capacities totaling </w:t>
      </w:r>
      <w:r w:rsidR="006D010A">
        <w:t>7</w:t>
      </w:r>
      <w:r w:rsidR="00291CA6">
        <w:t>,</w:t>
      </w:r>
      <w:r w:rsidR="006D010A">
        <w:t>8</w:t>
      </w:r>
      <w:r w:rsidR="00452907">
        <w:t xml:space="preserve">00 MW can cover the actual shortage </w:t>
      </w:r>
      <w:proofErr w:type="gramStart"/>
      <w:r w:rsidR="00452907">
        <w:t>and also</w:t>
      </w:r>
      <w:proofErr w:type="gramEnd"/>
      <w:r w:rsidR="00452907">
        <w:t xml:space="preserve"> gas fired power plants are more reliable than renewable energy, because of the storage capacity. </w:t>
      </w:r>
    </w:p>
    <w:p w14:paraId="22EF9765" w14:textId="5AADC06B" w:rsidR="00A95B35" w:rsidRDefault="00A95B35" w:rsidP="00A95B35">
      <w:pPr>
        <w:pStyle w:val="CETHeading1"/>
      </w:pPr>
      <w:bookmarkStart w:id="7" w:name="_Hlk102266892"/>
      <w:r>
        <w:t>The role of natural gas in transportation</w:t>
      </w:r>
    </w:p>
    <w:p w14:paraId="4862BB9F" w14:textId="49DEC7FD" w:rsidR="00163440" w:rsidRDefault="00B87943" w:rsidP="00163440">
      <w:pPr>
        <w:pStyle w:val="CETBodytext"/>
      </w:pPr>
      <w:r>
        <w:t xml:space="preserve">Total demand for </w:t>
      </w:r>
      <w:r w:rsidR="00053B4D">
        <w:t>petroleum products</w:t>
      </w:r>
      <w:r>
        <w:t xml:space="preserve"> in South Africa reached 35 </w:t>
      </w:r>
      <w:r w:rsidR="00B67E30">
        <w:rPr>
          <w:rFonts w:cs="Arial"/>
        </w:rPr>
        <w:t>×</w:t>
      </w:r>
      <w:r w:rsidR="00B67E30">
        <w:t xml:space="preserve"> 10</w:t>
      </w:r>
      <w:r w:rsidR="00B67E30">
        <w:rPr>
          <w:vertAlign w:val="superscript"/>
        </w:rPr>
        <w:t>9</w:t>
      </w:r>
      <w:r w:rsidR="00B67E30">
        <w:t xml:space="preserve"> </w:t>
      </w:r>
      <w:r w:rsidR="008A7FEF">
        <w:t>L</w:t>
      </w:r>
      <w:r>
        <w:t xml:space="preserve"> in 2019</w:t>
      </w:r>
      <w:r w:rsidR="00053B4D">
        <w:t>, where 78</w:t>
      </w:r>
      <w:r w:rsidR="00846179">
        <w:t xml:space="preserve"> </w:t>
      </w:r>
      <w:r w:rsidR="00053B4D">
        <w:t>% is locally produce and 22</w:t>
      </w:r>
      <w:r w:rsidR="00846179">
        <w:t xml:space="preserve"> </w:t>
      </w:r>
      <w:r w:rsidR="00053B4D">
        <w:t xml:space="preserve">% is imported. </w:t>
      </w:r>
      <w:bookmarkEnd w:id="7"/>
      <w:r w:rsidR="00053B4D">
        <w:t>South Africa imported 39.2</w:t>
      </w:r>
      <w:r w:rsidR="00846179">
        <w:t xml:space="preserve"> </w:t>
      </w:r>
      <w:r w:rsidR="00053B4D">
        <w:t>% of diesel supply and 11.2</w:t>
      </w:r>
      <w:r w:rsidR="00846179">
        <w:t xml:space="preserve"> </w:t>
      </w:r>
      <w:r w:rsidR="00053B4D">
        <w:t xml:space="preserve">% of petrol supply. </w:t>
      </w:r>
      <w:r w:rsidR="004E5732">
        <w:t>The South African liquid fuels demand is as follows: 43</w:t>
      </w:r>
      <w:r w:rsidR="00846179">
        <w:t xml:space="preserve"> </w:t>
      </w:r>
      <w:r w:rsidR="004E5732">
        <w:t>% diesel, 36</w:t>
      </w:r>
      <w:r w:rsidR="00846179">
        <w:t xml:space="preserve"> </w:t>
      </w:r>
      <w:r w:rsidR="004E5732">
        <w:t>% petrol, 10</w:t>
      </w:r>
      <w:r w:rsidR="00846179">
        <w:t xml:space="preserve"> </w:t>
      </w:r>
      <w:r w:rsidR="004E5732">
        <w:t xml:space="preserve">% </w:t>
      </w:r>
      <w:r w:rsidR="00186A2C">
        <w:t>jet fuel/kerosene, 7</w:t>
      </w:r>
      <w:r w:rsidR="00846179">
        <w:t xml:space="preserve"> </w:t>
      </w:r>
      <w:r w:rsidR="00186A2C">
        <w:t>% fuel oil, 3</w:t>
      </w:r>
      <w:r w:rsidR="00846179">
        <w:t xml:space="preserve"> </w:t>
      </w:r>
      <w:r w:rsidR="00186A2C">
        <w:t>% LPG, and 2</w:t>
      </w:r>
      <w:r w:rsidR="00846179">
        <w:t xml:space="preserve"> </w:t>
      </w:r>
      <w:r w:rsidR="00186A2C">
        <w:t>% others</w:t>
      </w:r>
      <w:r w:rsidR="00336D50">
        <w:t>. The petroleum products demand is concentrated mainly in three provinces</w:t>
      </w:r>
      <w:r w:rsidR="00E16E1C">
        <w:t>, Gauteng 31</w:t>
      </w:r>
      <w:r w:rsidR="00846179">
        <w:t xml:space="preserve"> </w:t>
      </w:r>
      <w:r w:rsidR="00E16E1C">
        <w:t>%, KwaZulu Natal 20</w:t>
      </w:r>
      <w:r w:rsidR="00846179">
        <w:t xml:space="preserve"> </w:t>
      </w:r>
      <w:r w:rsidR="00E16E1C">
        <w:t>% and</w:t>
      </w:r>
      <w:r w:rsidR="00222C7F">
        <w:t xml:space="preserve"> the</w:t>
      </w:r>
      <w:r w:rsidR="00E16E1C">
        <w:t xml:space="preserve"> Western Cape 16</w:t>
      </w:r>
      <w:r w:rsidR="00846179">
        <w:t xml:space="preserve"> </w:t>
      </w:r>
      <w:r w:rsidR="00E16E1C">
        <w:t>%</w:t>
      </w:r>
      <w:r w:rsidR="00186A2C">
        <w:t xml:space="preserve"> (SAPIA, 2019).</w:t>
      </w:r>
      <w:r w:rsidR="003C3E1E">
        <w:t xml:space="preserve"> </w:t>
      </w:r>
      <w:r w:rsidR="00662F49">
        <w:t>Sasol Synfuel is producing 21</w:t>
      </w:r>
      <w:r w:rsidR="00846179">
        <w:t xml:space="preserve"> </w:t>
      </w:r>
      <w:r w:rsidR="00662F49">
        <w:t xml:space="preserve">% of South Africa petroleum products via its </w:t>
      </w:r>
      <w:proofErr w:type="spellStart"/>
      <w:r w:rsidR="00662F49">
        <w:t>Secunda</w:t>
      </w:r>
      <w:proofErr w:type="spellEnd"/>
      <w:r w:rsidR="00662F49">
        <w:t xml:space="preserve"> CTL plant</w:t>
      </w:r>
      <w:r w:rsidR="00163440">
        <w:t xml:space="preserve"> (</w:t>
      </w:r>
      <w:r w:rsidR="00BC4093">
        <w:t>990</w:t>
      </w:r>
      <w:r w:rsidR="00BC4093" w:rsidRPr="00BC4093">
        <w:rPr>
          <w:lang w:val="en-GB"/>
        </w:rPr>
        <w:t xml:space="preserve"> </w:t>
      </w:r>
      <w:r w:rsidR="00BC4093">
        <w:rPr>
          <w:lang w:val="en-GB"/>
        </w:rPr>
        <w:t>m</w:t>
      </w:r>
      <w:r w:rsidR="00BC4093" w:rsidRPr="007E5B68">
        <w:rPr>
          <w:vertAlign w:val="superscript"/>
          <w:lang w:val="en-GB"/>
        </w:rPr>
        <w:t>3</w:t>
      </w:r>
      <w:r w:rsidR="00BC4093">
        <w:rPr>
          <w:lang w:val="en-GB"/>
        </w:rPr>
        <w:t>/</w:t>
      </w:r>
      <w:proofErr w:type="gramStart"/>
      <w:r w:rsidR="00BC4093">
        <w:rPr>
          <w:lang w:val="en-GB"/>
        </w:rPr>
        <w:t>h</w:t>
      </w:r>
      <w:r w:rsidR="00BC4093">
        <w:t xml:space="preserve"> </w:t>
      </w:r>
      <w:r w:rsidR="00163440">
        <w:t>)</w:t>
      </w:r>
      <w:proofErr w:type="gramEnd"/>
      <w:r w:rsidR="00662F49">
        <w:t>, while 57</w:t>
      </w:r>
      <w:r w:rsidR="00846179">
        <w:t xml:space="preserve"> </w:t>
      </w:r>
      <w:r w:rsidR="00662F49">
        <w:t>% of petroleum products are produced in oil refineries</w:t>
      </w:r>
      <w:r w:rsidR="00163440">
        <w:t xml:space="preserve"> (</w:t>
      </w:r>
      <w:r w:rsidR="00BC4093">
        <w:t xml:space="preserve">3,451.8 </w:t>
      </w:r>
      <w:r w:rsidR="00BC4093">
        <w:rPr>
          <w:lang w:val="en-GB"/>
        </w:rPr>
        <w:t>m</w:t>
      </w:r>
      <w:r w:rsidR="00BC4093" w:rsidRPr="007E5B68">
        <w:rPr>
          <w:vertAlign w:val="superscript"/>
          <w:lang w:val="en-GB"/>
        </w:rPr>
        <w:t>3</w:t>
      </w:r>
      <w:r w:rsidR="00BC4093">
        <w:rPr>
          <w:lang w:val="en-GB"/>
        </w:rPr>
        <w:t>/h</w:t>
      </w:r>
      <w:r w:rsidR="00163440">
        <w:t>),</w:t>
      </w:r>
      <w:r w:rsidR="00662F49">
        <w:t xml:space="preserve"> </w:t>
      </w:r>
      <w:r w:rsidR="00BC4093">
        <w:t>which</w:t>
      </w:r>
      <w:r w:rsidR="00662F49">
        <w:t xml:space="preserve"> relies on imported crude oil (SAPIA, 2019). </w:t>
      </w:r>
    </w:p>
    <w:p w14:paraId="05583D3C" w14:textId="1A924CBB" w:rsidR="000777BD" w:rsidRDefault="00163440" w:rsidP="00163440">
      <w:pPr>
        <w:pStyle w:val="CETBodytext"/>
      </w:pPr>
      <w:proofErr w:type="spellStart"/>
      <w:r>
        <w:t>PetroSA</w:t>
      </w:r>
      <w:proofErr w:type="spellEnd"/>
      <w:r>
        <w:t xml:space="preserve"> GTL plant is covering 6</w:t>
      </w:r>
      <w:r w:rsidR="00846179">
        <w:t xml:space="preserve"> </w:t>
      </w:r>
      <w:r>
        <w:t xml:space="preserve">% of South Africa petroleum products. The design capacity of </w:t>
      </w:r>
      <w:proofErr w:type="spellStart"/>
      <w:r>
        <w:t>PetroSA</w:t>
      </w:r>
      <w:proofErr w:type="spellEnd"/>
      <w:r>
        <w:t xml:space="preserve"> plant is </w:t>
      </w:r>
      <w:r w:rsidR="00BC4093">
        <w:t xml:space="preserve">297 </w:t>
      </w:r>
      <w:r w:rsidR="00BC4093">
        <w:rPr>
          <w:lang w:val="en-GB"/>
        </w:rPr>
        <w:t>m</w:t>
      </w:r>
      <w:r w:rsidR="00BC4093" w:rsidRPr="007E5B68">
        <w:rPr>
          <w:vertAlign w:val="superscript"/>
          <w:lang w:val="en-GB"/>
        </w:rPr>
        <w:t>3</w:t>
      </w:r>
      <w:r w:rsidR="00BC4093">
        <w:rPr>
          <w:lang w:val="en-GB"/>
        </w:rPr>
        <w:t>/h</w:t>
      </w:r>
      <w:r>
        <w:t xml:space="preserve"> oil equivalent, but because of the shortage of gas, the plant is running of 1/3 of the design capacity. Furthermore, the gas at </w:t>
      </w:r>
      <w:proofErr w:type="spellStart"/>
      <w:r>
        <w:t>PetroSA</w:t>
      </w:r>
      <w:proofErr w:type="spellEnd"/>
      <w:r>
        <w:t xml:space="preserve"> South Coast gas fields will be depleted by 2029. </w:t>
      </w:r>
      <w:r w:rsidR="000777BD">
        <w:t xml:space="preserve">Importing LNG can extend the life of </w:t>
      </w:r>
      <w:proofErr w:type="spellStart"/>
      <w:r w:rsidR="000777BD">
        <w:t>PetroSA</w:t>
      </w:r>
      <w:proofErr w:type="spellEnd"/>
      <w:r w:rsidR="000777BD">
        <w:t xml:space="preserve"> GTL plant, </w:t>
      </w:r>
      <w:proofErr w:type="gramStart"/>
      <w:r w:rsidR="000777BD">
        <w:t>in particular there</w:t>
      </w:r>
      <w:proofErr w:type="gramEnd"/>
      <w:r w:rsidR="000777BD">
        <w:t xml:space="preserve"> is an LNG tank farm. Furthermore, Shell and Sasol did feasibility studies on a GTL plant in Mozambique. </w:t>
      </w:r>
      <w:r w:rsidR="0032729D">
        <w:t xml:space="preserve">Sasol conducted a feasibility study for a </w:t>
      </w:r>
      <w:proofErr w:type="gramStart"/>
      <w:r w:rsidR="0032729D">
        <w:t>large scale</w:t>
      </w:r>
      <w:proofErr w:type="gramEnd"/>
      <w:r w:rsidR="0032729D">
        <w:t xml:space="preserve"> GTL plant, which is based on gas from Rovuma basin in northern Mozambique. This study was conducted in conj</w:t>
      </w:r>
      <w:r w:rsidR="005A4822">
        <w:t>un</w:t>
      </w:r>
      <w:r w:rsidR="0032729D">
        <w:t xml:space="preserve">ction with ENH and Eni. </w:t>
      </w:r>
      <w:r w:rsidR="005A4822">
        <w:t xml:space="preserve">The </w:t>
      </w:r>
      <w:proofErr w:type="spellStart"/>
      <w:r w:rsidR="005A4822">
        <w:t>Afungi</w:t>
      </w:r>
      <w:proofErr w:type="spellEnd"/>
      <w:r w:rsidR="005A4822">
        <w:t xml:space="preserve"> GTL project is the second proposed GTL project tapping Rovuma basin. The </w:t>
      </w:r>
      <w:proofErr w:type="spellStart"/>
      <w:r w:rsidR="005A4822">
        <w:t>Afungi</w:t>
      </w:r>
      <w:proofErr w:type="spellEnd"/>
      <w:r w:rsidR="005A4822">
        <w:t xml:space="preserve"> GTL project is led by Shell to produce </w:t>
      </w:r>
      <w:r w:rsidR="00BC4093">
        <w:t xml:space="preserve">250.8 </w:t>
      </w:r>
      <w:r w:rsidR="00BC4093">
        <w:rPr>
          <w:lang w:val="en-GB"/>
        </w:rPr>
        <w:t>m</w:t>
      </w:r>
      <w:r w:rsidR="00BC4093" w:rsidRPr="007E5B68">
        <w:rPr>
          <w:vertAlign w:val="superscript"/>
          <w:lang w:val="en-GB"/>
        </w:rPr>
        <w:t>3</w:t>
      </w:r>
      <w:r w:rsidR="00BC4093">
        <w:rPr>
          <w:lang w:val="en-GB"/>
        </w:rPr>
        <w:t>/h</w:t>
      </w:r>
      <w:r w:rsidR="005A4822">
        <w:t xml:space="preserve"> of liquid fuels. </w:t>
      </w:r>
      <w:proofErr w:type="spellStart"/>
      <w:r w:rsidR="00D36A6D">
        <w:t>PetroSA</w:t>
      </w:r>
      <w:proofErr w:type="spellEnd"/>
      <w:r w:rsidR="00D36A6D">
        <w:t xml:space="preserve"> had talks with the Mozambique government to build </w:t>
      </w:r>
      <w:r w:rsidR="00BC4093">
        <w:t xml:space="preserve">264 </w:t>
      </w:r>
      <w:r w:rsidR="00BC4093">
        <w:rPr>
          <w:lang w:val="en-GB"/>
        </w:rPr>
        <w:t>m</w:t>
      </w:r>
      <w:r w:rsidR="00BC4093" w:rsidRPr="007E5B68">
        <w:rPr>
          <w:vertAlign w:val="superscript"/>
          <w:lang w:val="en-GB"/>
        </w:rPr>
        <w:t>3</w:t>
      </w:r>
      <w:r w:rsidR="00BC4093">
        <w:rPr>
          <w:lang w:val="en-GB"/>
        </w:rPr>
        <w:t>/h</w:t>
      </w:r>
      <w:r w:rsidR="00D36A6D">
        <w:t xml:space="preserve"> GTL plant in Mozambique. All the proposed GTL plants will provide liquid fuels, </w:t>
      </w:r>
      <w:proofErr w:type="gramStart"/>
      <w:r w:rsidR="00D36A6D">
        <w:t>in particular ultra</w:t>
      </w:r>
      <w:proofErr w:type="gramEnd"/>
      <w:r w:rsidR="00D36A6D">
        <w:t xml:space="preserve"> clean diesel with very low </w:t>
      </w:r>
      <w:proofErr w:type="spellStart"/>
      <w:r w:rsidR="00D36A6D">
        <w:t>sulphur</w:t>
      </w:r>
      <w:proofErr w:type="spellEnd"/>
      <w:r w:rsidR="00D36A6D">
        <w:t xml:space="preserve"> and aromatics, to the country and SADC countries, in particular South Africa.</w:t>
      </w:r>
    </w:p>
    <w:p w14:paraId="2355953F" w14:textId="476A62D5" w:rsidR="008F1B5E" w:rsidRDefault="00E22FCA" w:rsidP="00163440">
      <w:pPr>
        <w:pStyle w:val="CETBodytext"/>
      </w:pPr>
      <w:r>
        <w:t>Natural gas can be used directly as alternative clean fuel</w:t>
      </w:r>
      <w:r w:rsidR="00CE6930">
        <w:t xml:space="preserve"> (</w:t>
      </w:r>
      <w:proofErr w:type="gramStart"/>
      <w:r w:rsidR="00CE6930">
        <w:t>i.e.</w:t>
      </w:r>
      <w:proofErr w:type="gramEnd"/>
      <w:r w:rsidR="00CE6930">
        <w:t xml:space="preserve"> petrol and diesel)</w:t>
      </w:r>
      <w:r>
        <w:t xml:space="preserve">, as CNG (compressed natural gas) or LNG. LNG is more economically attractive for long </w:t>
      </w:r>
      <w:r w:rsidR="00CE6930">
        <w:t>haul applications, as well as shipping fuel</w:t>
      </w:r>
      <w:r w:rsidR="004A14FD">
        <w:t>, but LNG require significant more capital compared to CNG.</w:t>
      </w:r>
      <w:r w:rsidR="003C3E1E">
        <w:t xml:space="preserve"> </w:t>
      </w:r>
      <w:r w:rsidR="00475CC0">
        <w:t>Public transport</w:t>
      </w:r>
      <w:r w:rsidR="002B7104">
        <w:t xml:space="preserve"> fleets are </w:t>
      </w:r>
      <w:r w:rsidR="00DA24D6">
        <w:t>the best end user of gas as alternative to diesel and petrol.</w:t>
      </w:r>
      <w:r w:rsidR="00922FAB">
        <w:t xml:space="preserve"> However, infrastructure, high capital costs and storage issues presents barriers which may be addressed by concentrating on dedicated fleets in specific areas and providing financial support for conversion cost, possibly recouped through taxation on the natural</w:t>
      </w:r>
      <w:r w:rsidR="00BE5207">
        <w:t xml:space="preserve"> gas supply (SAGMP, 2021).</w:t>
      </w:r>
      <w:r w:rsidR="003C3E1E">
        <w:t xml:space="preserve"> </w:t>
      </w:r>
      <w:r w:rsidR="008F1B5E">
        <w:t>The taxi industry is the most important part of South Africa’s public transport system</w:t>
      </w:r>
      <w:r w:rsidR="00631849">
        <w:t xml:space="preserve">, where </w:t>
      </w:r>
      <w:r w:rsidR="00840CF6">
        <w:t>11.4</w:t>
      </w:r>
      <w:r w:rsidR="00631849">
        <w:t xml:space="preserve"> million commuters per day use it, representing </w:t>
      </w:r>
      <w:r w:rsidR="00840CF6">
        <w:t>80.2</w:t>
      </w:r>
      <w:r w:rsidR="00846179">
        <w:t xml:space="preserve"> </w:t>
      </w:r>
      <w:r w:rsidR="00631849">
        <w:t>% of all public transport</w:t>
      </w:r>
      <w:r w:rsidR="00840CF6">
        <w:t>, an increase from 67.6</w:t>
      </w:r>
      <w:r w:rsidR="00846179">
        <w:t xml:space="preserve"> </w:t>
      </w:r>
      <w:r w:rsidR="00840CF6">
        <w:t>% in 2013 (SABOA, 2021)</w:t>
      </w:r>
      <w:r w:rsidR="00631849">
        <w:t xml:space="preserve">. </w:t>
      </w:r>
      <w:r w:rsidR="00E72C4C">
        <w:t>There are approximately 250</w:t>
      </w:r>
      <w:r w:rsidR="00291CA6">
        <w:t>,</w:t>
      </w:r>
      <w:r w:rsidR="00E72C4C">
        <w:t xml:space="preserve">000 minibus taxis currently doing business in South Africa. </w:t>
      </w:r>
      <w:r w:rsidR="00950B23">
        <w:t>Most of these taxis are operating in Gauteng, followed by KwaZulu Natal, Mpumalanga and the Western Cape. The dedicated taxi fleets can be converted to gas as alternative fuel, in fact there are over 1</w:t>
      </w:r>
      <w:r w:rsidR="00561706">
        <w:t>,</w:t>
      </w:r>
      <w:r w:rsidR="00950B23">
        <w:t>200 taxis already converted to gas</w:t>
      </w:r>
      <w:r w:rsidR="00AE2F67">
        <w:t>, which leave a huge potential for gas to be leveraged</w:t>
      </w:r>
      <w:r w:rsidR="00840CF6">
        <w:t xml:space="preserve"> (SAGMP, 2021)</w:t>
      </w:r>
      <w:r w:rsidR="00AE2F67">
        <w:t xml:space="preserve">. </w:t>
      </w:r>
      <w:r w:rsidR="00BA13D8">
        <w:t>According to SABOA (South African Bus Operators Association), there are approximately 25</w:t>
      </w:r>
      <w:r w:rsidR="00291CA6">
        <w:t>,</w:t>
      </w:r>
      <w:r w:rsidR="00BA13D8">
        <w:t>000 busses in South Africa, of which 19</w:t>
      </w:r>
      <w:r w:rsidR="00291CA6">
        <w:t>,</w:t>
      </w:r>
      <w:r w:rsidR="00BA13D8">
        <w:t>000 are involved in public transport. The bus industry has about 1</w:t>
      </w:r>
      <w:r w:rsidR="00EB3962">
        <w:t>6.6</w:t>
      </w:r>
      <w:r w:rsidR="00291CA6">
        <w:t xml:space="preserve"> </w:t>
      </w:r>
      <w:r w:rsidR="00BA13D8">
        <w:t>% of the market share</w:t>
      </w:r>
      <w:r w:rsidR="00EB3962">
        <w:t xml:space="preserve"> in 2020 with 2.1 million users, a decline from 19.5</w:t>
      </w:r>
      <w:r w:rsidR="00A8415B">
        <w:t xml:space="preserve"> </w:t>
      </w:r>
      <w:r w:rsidR="00EB3962">
        <w:t>% in 2013 (SABOA, 2021).</w:t>
      </w:r>
      <w:r w:rsidR="003C3E1E">
        <w:t xml:space="preserve"> </w:t>
      </w:r>
      <w:r w:rsidR="00197C7B">
        <w:t>The city of Johannesburg was one of the first cities in Sub-Saharan Africa to run a fleet on CNG converted busses with a fleet of 180 busses. The City of Tshwane has 80</w:t>
      </w:r>
      <w:r w:rsidR="00D01B27">
        <w:t xml:space="preserve"> CNG busses, while the Free State has 10 CNG busses (SAGMP, 2021). </w:t>
      </w:r>
      <w:r w:rsidR="00631849">
        <w:t xml:space="preserve"> </w:t>
      </w:r>
    </w:p>
    <w:p w14:paraId="68D26B83" w14:textId="176C9ABD" w:rsidR="00600535" w:rsidRPr="00B57B36" w:rsidRDefault="00600535" w:rsidP="00600535">
      <w:pPr>
        <w:pStyle w:val="CETHeading1"/>
        <w:rPr>
          <w:lang w:val="en-GB"/>
        </w:rPr>
      </w:pPr>
      <w:r w:rsidRPr="00B57B36">
        <w:rPr>
          <w:lang w:val="en-GB"/>
        </w:rPr>
        <w:t>Conclusions</w:t>
      </w:r>
    </w:p>
    <w:p w14:paraId="5DF6DC7E" w14:textId="7C4DB515" w:rsidR="003E7DEF" w:rsidRDefault="00DB0E6C" w:rsidP="00600535">
      <w:pPr>
        <w:pStyle w:val="CETBodytext"/>
        <w:rPr>
          <w:lang w:val="en-GB"/>
        </w:rPr>
      </w:pPr>
      <w:r>
        <w:rPr>
          <w:lang w:val="en-GB"/>
        </w:rPr>
        <w:t>Natural gas is the cleanest fossil fuel, emitting 50</w:t>
      </w:r>
      <w:r w:rsidR="00A8415B">
        <w:rPr>
          <w:lang w:val="en-GB"/>
        </w:rPr>
        <w:t xml:space="preserve"> </w:t>
      </w:r>
      <w:r>
        <w:rPr>
          <w:lang w:val="en-GB"/>
        </w:rPr>
        <w:t>% less CO</w:t>
      </w:r>
      <w:r w:rsidRPr="00DB0E6C">
        <w:rPr>
          <w:vertAlign w:val="subscript"/>
          <w:lang w:val="en-GB"/>
        </w:rPr>
        <w:t>2</w:t>
      </w:r>
      <w:r>
        <w:rPr>
          <w:lang w:val="en-GB"/>
        </w:rPr>
        <w:t xml:space="preserve"> than coal, and around 32</w:t>
      </w:r>
      <w:r w:rsidR="00A8415B">
        <w:rPr>
          <w:lang w:val="en-GB"/>
        </w:rPr>
        <w:t xml:space="preserve"> </w:t>
      </w:r>
      <w:r>
        <w:rPr>
          <w:lang w:val="en-GB"/>
        </w:rPr>
        <w:t>% less than oil. South Africa’s coal contribution to energy mix is 70.7</w:t>
      </w:r>
      <w:r w:rsidR="00A8415B">
        <w:rPr>
          <w:lang w:val="en-GB"/>
        </w:rPr>
        <w:t xml:space="preserve"> </w:t>
      </w:r>
      <w:r>
        <w:rPr>
          <w:lang w:val="en-GB"/>
        </w:rPr>
        <w:t>% and oil 21.6</w:t>
      </w:r>
      <w:r w:rsidR="00A8415B">
        <w:rPr>
          <w:lang w:val="en-GB"/>
        </w:rPr>
        <w:t xml:space="preserve"> </w:t>
      </w:r>
      <w:r>
        <w:rPr>
          <w:lang w:val="en-GB"/>
        </w:rPr>
        <w:t>%, while natural gas contributed 3.1</w:t>
      </w:r>
      <w:r w:rsidR="00A8415B">
        <w:rPr>
          <w:lang w:val="en-GB"/>
        </w:rPr>
        <w:t xml:space="preserve"> </w:t>
      </w:r>
      <w:r>
        <w:rPr>
          <w:lang w:val="en-GB"/>
        </w:rPr>
        <w:t>%.</w:t>
      </w:r>
      <w:r w:rsidR="001128DF">
        <w:rPr>
          <w:lang w:val="en-GB"/>
        </w:rPr>
        <w:t xml:space="preserve"> </w:t>
      </w:r>
      <w:r w:rsidR="00D56038">
        <w:rPr>
          <w:lang w:val="en-GB"/>
        </w:rPr>
        <w:t>For South Africa’s government decarbonisation commitment to climate change, substituting coal and oil with natural gas can satisfy the commitment to reduce CO</w:t>
      </w:r>
      <w:r w:rsidR="00D56038" w:rsidRPr="003E7DEF">
        <w:rPr>
          <w:vertAlign w:val="subscript"/>
          <w:lang w:val="en-GB"/>
        </w:rPr>
        <w:t>2</w:t>
      </w:r>
      <w:r w:rsidR="00D56038">
        <w:rPr>
          <w:lang w:val="en-GB"/>
        </w:rPr>
        <w:t xml:space="preserve"> emissions by 2030 and beyond. The two sectors that natural gas </w:t>
      </w:r>
      <w:r w:rsidR="001128DF">
        <w:rPr>
          <w:lang w:val="en-GB"/>
        </w:rPr>
        <w:t>can play an important role are electricity generation and transportation.</w:t>
      </w:r>
      <w:r w:rsidR="003C3E1E">
        <w:rPr>
          <w:lang w:val="en-GB"/>
        </w:rPr>
        <w:t xml:space="preserve"> </w:t>
      </w:r>
      <w:r w:rsidR="00B63650">
        <w:rPr>
          <w:lang w:val="en-GB"/>
        </w:rPr>
        <w:t xml:space="preserve">Coal to gas switching in power plants is an approach widely used, </w:t>
      </w:r>
      <w:proofErr w:type="gramStart"/>
      <w:r w:rsidR="00B63650">
        <w:rPr>
          <w:lang w:val="en-GB"/>
        </w:rPr>
        <w:t>in particular the</w:t>
      </w:r>
      <w:proofErr w:type="gramEnd"/>
      <w:r w:rsidR="00B63650">
        <w:rPr>
          <w:lang w:val="en-GB"/>
        </w:rPr>
        <w:t xml:space="preserve"> USA and Europe. Coal fired power plant </w:t>
      </w:r>
      <w:r w:rsidR="00A01454">
        <w:rPr>
          <w:lang w:val="en-GB"/>
        </w:rPr>
        <w:t xml:space="preserve">in South Africa </w:t>
      </w:r>
      <w:r w:rsidR="00B63650">
        <w:rPr>
          <w:lang w:val="en-GB"/>
        </w:rPr>
        <w:t>generated 43</w:t>
      </w:r>
      <w:r w:rsidR="00387AE0">
        <w:rPr>
          <w:lang w:val="en-GB"/>
        </w:rPr>
        <w:t>,</w:t>
      </w:r>
      <w:r w:rsidR="00B63650">
        <w:rPr>
          <w:lang w:val="en-GB"/>
        </w:rPr>
        <w:t>256 MW in 2021</w:t>
      </w:r>
      <w:r w:rsidR="00A01454">
        <w:rPr>
          <w:lang w:val="en-GB"/>
        </w:rPr>
        <w:t>. There are six plants with total capacity of 10</w:t>
      </w:r>
      <w:r w:rsidR="00387AE0">
        <w:rPr>
          <w:lang w:val="en-GB"/>
        </w:rPr>
        <w:t>,</w:t>
      </w:r>
      <w:r w:rsidR="00A01454">
        <w:rPr>
          <w:lang w:val="en-GB"/>
        </w:rPr>
        <w:t xml:space="preserve">711 MW will reach end of life by 2030. </w:t>
      </w:r>
      <w:proofErr w:type="gramStart"/>
      <w:r w:rsidR="00A01454">
        <w:rPr>
          <w:lang w:val="en-GB"/>
        </w:rPr>
        <w:t>These coal</w:t>
      </w:r>
      <w:proofErr w:type="gramEnd"/>
      <w:r w:rsidR="00A01454">
        <w:rPr>
          <w:lang w:val="en-GB"/>
        </w:rPr>
        <w:t xml:space="preserve"> fired power plants could be completely converted to natural gas, in particular they are regrouped in the same area in Mpumalanga Province, and have access to Sasol distribution networks.</w:t>
      </w:r>
      <w:r w:rsidR="003C3E1E">
        <w:rPr>
          <w:lang w:val="en-GB"/>
        </w:rPr>
        <w:t xml:space="preserve"> </w:t>
      </w:r>
      <w:r w:rsidR="003E7DEF">
        <w:rPr>
          <w:lang w:val="en-GB"/>
        </w:rPr>
        <w:t xml:space="preserve">There are six open cycle </w:t>
      </w:r>
      <w:r w:rsidR="003E7DEF">
        <w:rPr>
          <w:lang w:val="en-GB"/>
        </w:rPr>
        <w:lastRenderedPageBreak/>
        <w:t xml:space="preserve">gas </w:t>
      </w:r>
      <w:r w:rsidR="006059F8">
        <w:rPr>
          <w:lang w:val="en-GB"/>
        </w:rPr>
        <w:t>turbines</w:t>
      </w:r>
      <w:r w:rsidR="003E7DEF">
        <w:rPr>
          <w:lang w:val="en-GB"/>
        </w:rPr>
        <w:t xml:space="preserve"> (OCGT) with a total capacity of 3</w:t>
      </w:r>
      <w:r w:rsidR="00387AE0">
        <w:rPr>
          <w:lang w:val="en-GB"/>
        </w:rPr>
        <w:t>,</w:t>
      </w:r>
      <w:r w:rsidR="003E7DEF">
        <w:rPr>
          <w:lang w:val="en-GB"/>
        </w:rPr>
        <w:t xml:space="preserve">763 </w:t>
      </w:r>
      <w:r w:rsidR="00D47ECC">
        <w:rPr>
          <w:lang w:val="en-GB"/>
        </w:rPr>
        <w:t>MW and</w:t>
      </w:r>
      <w:r w:rsidR="003E7DEF">
        <w:rPr>
          <w:lang w:val="en-GB"/>
        </w:rPr>
        <w:t xml:space="preserve"> using diesel as fuel source. These OCGT plants can be converted to gas. Furthermore, the OCGT plants can be converted to close cycle gas turbine</w:t>
      </w:r>
      <w:r w:rsidR="00113570">
        <w:rPr>
          <w:lang w:val="en-GB"/>
        </w:rPr>
        <w:t>s</w:t>
      </w:r>
      <w:r w:rsidR="003E7DEF">
        <w:rPr>
          <w:lang w:val="en-GB"/>
        </w:rPr>
        <w:t xml:space="preserve"> (CCGT).</w:t>
      </w:r>
      <w:r w:rsidR="003C3E1E">
        <w:rPr>
          <w:lang w:val="en-GB"/>
        </w:rPr>
        <w:t xml:space="preserve"> </w:t>
      </w:r>
      <w:r w:rsidR="003E7DEF">
        <w:rPr>
          <w:lang w:val="en-GB"/>
        </w:rPr>
        <w:t>LNG to power is the most viable option for new generating capacities, such as 3</w:t>
      </w:r>
      <w:r w:rsidR="00387AE0">
        <w:rPr>
          <w:lang w:val="en-GB"/>
        </w:rPr>
        <w:t>,</w:t>
      </w:r>
      <w:r w:rsidR="003E7DEF">
        <w:rPr>
          <w:lang w:val="en-GB"/>
        </w:rPr>
        <w:t>000 MW at Richards Bay</w:t>
      </w:r>
      <w:r w:rsidR="00584458">
        <w:rPr>
          <w:lang w:val="en-GB"/>
        </w:rPr>
        <w:t xml:space="preserve">, at </w:t>
      </w:r>
      <w:proofErr w:type="spellStart"/>
      <w:r w:rsidR="00584458">
        <w:rPr>
          <w:lang w:val="en-GB"/>
        </w:rPr>
        <w:t>Coega</w:t>
      </w:r>
      <w:proofErr w:type="spellEnd"/>
      <w:r w:rsidR="00584458">
        <w:rPr>
          <w:lang w:val="en-GB"/>
        </w:rPr>
        <w:t xml:space="preserve"> and Saldanha Bay with 1</w:t>
      </w:r>
      <w:r w:rsidR="00387AE0">
        <w:rPr>
          <w:lang w:val="en-GB"/>
        </w:rPr>
        <w:t>,</w:t>
      </w:r>
      <w:r w:rsidR="00584458">
        <w:rPr>
          <w:lang w:val="en-GB"/>
        </w:rPr>
        <w:t>600 MW capacity each. Furthermore, a 1</w:t>
      </w:r>
      <w:r w:rsidR="00387AE0">
        <w:rPr>
          <w:lang w:val="en-GB"/>
        </w:rPr>
        <w:t>,</w:t>
      </w:r>
      <w:r w:rsidR="00584458">
        <w:rPr>
          <w:lang w:val="en-GB"/>
        </w:rPr>
        <w:t xml:space="preserve">600 MW gas fired power plant can be built in Johannesburg, such as Kelvin, using LNG import at Richards Bay and reversing Lilly pipeline. </w:t>
      </w:r>
    </w:p>
    <w:p w14:paraId="1537AC1F" w14:textId="3D669791" w:rsidR="005E5E5F" w:rsidRDefault="00584458" w:rsidP="00600535">
      <w:pPr>
        <w:pStyle w:val="CETBodytext"/>
        <w:rPr>
          <w:lang w:val="en-GB"/>
        </w:rPr>
      </w:pPr>
      <w:r>
        <w:rPr>
          <w:lang w:val="en-GB"/>
        </w:rPr>
        <w:t>Natural gas can play a role in transportation sector in different ways, such as GTL, CNG and LNG. GTL is a process to convert natural gas to liquid</w:t>
      </w:r>
      <w:r w:rsidR="00AB37D2">
        <w:rPr>
          <w:lang w:val="en-GB"/>
        </w:rPr>
        <w:t xml:space="preserve"> fuels </w:t>
      </w:r>
      <w:proofErr w:type="gramStart"/>
      <w:r w:rsidR="00AB37D2">
        <w:rPr>
          <w:lang w:val="en-GB"/>
        </w:rPr>
        <w:t>in particular ultra</w:t>
      </w:r>
      <w:proofErr w:type="gramEnd"/>
      <w:r w:rsidR="00AB37D2">
        <w:rPr>
          <w:lang w:val="en-GB"/>
        </w:rPr>
        <w:t xml:space="preserve"> clean diesel with high cetane number and very low sulphur and aromatics. </w:t>
      </w:r>
      <w:proofErr w:type="spellStart"/>
      <w:r w:rsidR="00AB37D2">
        <w:rPr>
          <w:lang w:val="en-GB"/>
        </w:rPr>
        <w:t>PetroSA’s</w:t>
      </w:r>
      <w:proofErr w:type="spellEnd"/>
      <w:r w:rsidR="00AB37D2">
        <w:rPr>
          <w:lang w:val="en-GB"/>
        </w:rPr>
        <w:t xml:space="preserve"> </w:t>
      </w:r>
      <w:r w:rsidR="00362455">
        <w:rPr>
          <w:lang w:val="en-GB"/>
        </w:rPr>
        <w:t xml:space="preserve">297 </w:t>
      </w:r>
      <w:r w:rsidR="00362455">
        <w:rPr>
          <w:lang w:val="en-GB"/>
        </w:rPr>
        <w:t>m</w:t>
      </w:r>
      <w:r w:rsidR="00362455" w:rsidRPr="007E5B68">
        <w:rPr>
          <w:vertAlign w:val="superscript"/>
          <w:lang w:val="en-GB"/>
        </w:rPr>
        <w:t>3</w:t>
      </w:r>
      <w:r w:rsidR="00362455">
        <w:rPr>
          <w:lang w:val="en-GB"/>
        </w:rPr>
        <w:t>/h</w:t>
      </w:r>
      <w:r w:rsidR="00AB37D2">
        <w:rPr>
          <w:lang w:val="en-GB"/>
        </w:rPr>
        <w:t xml:space="preserve"> plant in Mossel Bay is running 1/3 of the design capacity and the gas will be depleted by 2029. Importing LNG will extend the life of this plant. Furthermore, GTL plants in Mozambique can supply liquid fuels to the country and the region in particular South Africa. Sasol, Shell and </w:t>
      </w:r>
      <w:proofErr w:type="spellStart"/>
      <w:r w:rsidR="00AB37D2">
        <w:rPr>
          <w:lang w:val="en-GB"/>
        </w:rPr>
        <w:t>PetroSA</w:t>
      </w:r>
      <w:proofErr w:type="spellEnd"/>
      <w:r w:rsidR="005E5E5F">
        <w:rPr>
          <w:lang w:val="en-GB"/>
        </w:rPr>
        <w:t xml:space="preserve">, the world leaders in GTL technology, announced proposals </w:t>
      </w:r>
      <w:r w:rsidR="00116243">
        <w:rPr>
          <w:lang w:val="en-GB"/>
        </w:rPr>
        <w:t>to the</w:t>
      </w:r>
      <w:r w:rsidR="005E5E5F">
        <w:rPr>
          <w:lang w:val="en-GB"/>
        </w:rPr>
        <w:t xml:space="preserve"> Mozambique government.</w:t>
      </w:r>
      <w:r w:rsidR="003C3E1E">
        <w:rPr>
          <w:lang w:val="en-GB"/>
        </w:rPr>
        <w:t xml:space="preserve"> </w:t>
      </w:r>
      <w:r w:rsidR="005E5E5F">
        <w:rPr>
          <w:lang w:val="en-GB"/>
        </w:rPr>
        <w:t>Natural gas can be used directly as fuel in transportation as CNG or as LNG. For natural gas to be widely used in transportation a dedicated fleets are required. Taxi minibuses are widely used in South Africa, covering 80.2</w:t>
      </w:r>
      <w:r w:rsidR="00A8415B">
        <w:rPr>
          <w:lang w:val="en-GB"/>
        </w:rPr>
        <w:t xml:space="preserve"> </w:t>
      </w:r>
      <w:r w:rsidR="005E5E5F">
        <w:rPr>
          <w:lang w:val="en-GB"/>
        </w:rPr>
        <w:t>% of the business share, with 250</w:t>
      </w:r>
      <w:r w:rsidR="00387AE0">
        <w:rPr>
          <w:lang w:val="en-GB"/>
        </w:rPr>
        <w:t>,</w:t>
      </w:r>
      <w:r w:rsidR="005E5E5F">
        <w:rPr>
          <w:lang w:val="en-GB"/>
        </w:rPr>
        <w:t>000 taxis and 11.4 million use</w:t>
      </w:r>
      <w:r w:rsidR="00FA36DD">
        <w:rPr>
          <w:lang w:val="en-GB"/>
        </w:rPr>
        <w:t>rs. The bus industry has about 16.6</w:t>
      </w:r>
      <w:r w:rsidR="00A8415B">
        <w:rPr>
          <w:lang w:val="en-GB"/>
        </w:rPr>
        <w:t xml:space="preserve"> </w:t>
      </w:r>
      <w:r w:rsidR="00FA36DD">
        <w:rPr>
          <w:lang w:val="en-GB"/>
        </w:rPr>
        <w:t>% of the market share in 2020, with 2.1 million users. There are 19</w:t>
      </w:r>
      <w:r w:rsidR="00387AE0">
        <w:rPr>
          <w:lang w:val="en-GB"/>
        </w:rPr>
        <w:t>,</w:t>
      </w:r>
      <w:r w:rsidR="00FA36DD">
        <w:rPr>
          <w:lang w:val="en-GB"/>
        </w:rPr>
        <w:t>000 buses involved in public transport.</w:t>
      </w:r>
    </w:p>
    <w:p w14:paraId="16688E70" w14:textId="6580D667" w:rsidR="00FA36DD" w:rsidRDefault="00FA36DD" w:rsidP="00600535">
      <w:pPr>
        <w:pStyle w:val="CETBodytext"/>
        <w:rPr>
          <w:lang w:val="en-GB"/>
        </w:rPr>
      </w:pPr>
      <w:r>
        <w:rPr>
          <w:lang w:val="en-GB"/>
        </w:rPr>
        <w:t xml:space="preserve">Furthermore, the other uses of natural gas are industrial, </w:t>
      </w:r>
      <w:proofErr w:type="gramStart"/>
      <w:r>
        <w:rPr>
          <w:lang w:val="en-GB"/>
        </w:rPr>
        <w:t>commercial</w:t>
      </w:r>
      <w:proofErr w:type="gramEnd"/>
      <w:r>
        <w:rPr>
          <w:lang w:val="en-GB"/>
        </w:rPr>
        <w:t xml:space="preserve"> and residential sectors. The industrial uses of natural gas can be to supply heat for processes in steel, paper, packaging, textile, etc. industries, as well as </w:t>
      </w:r>
      <w:r w:rsidR="006B1EF2">
        <w:rPr>
          <w:lang w:val="en-GB"/>
        </w:rPr>
        <w:t xml:space="preserve">providing natural gas for petrochemical industry. For commercial and residential sectors, natural gas can be used for space heating, water heating and cooking, where an articulation network can be developed in niche areas. </w:t>
      </w:r>
    </w:p>
    <w:p w14:paraId="1AAE0B88" w14:textId="49318CBA" w:rsidR="00222C7F" w:rsidRPr="00B57B36" w:rsidRDefault="00222C7F" w:rsidP="00600535">
      <w:pPr>
        <w:pStyle w:val="CETBodytext"/>
        <w:rPr>
          <w:lang w:val="en-GB"/>
        </w:rPr>
      </w:pPr>
      <w:r>
        <w:rPr>
          <w:lang w:val="en-GB"/>
        </w:rPr>
        <w:t xml:space="preserve">Beyond 2060, South African energy mix will be dominated by solar, wind and green hydrogen. The introduction of natural gas in the energy transition will not </w:t>
      </w:r>
      <w:r w:rsidR="00DE72C5">
        <w:rPr>
          <w:lang w:val="en-GB"/>
        </w:rPr>
        <w:t xml:space="preserve">only </w:t>
      </w:r>
      <w:r>
        <w:rPr>
          <w:lang w:val="en-GB"/>
        </w:rPr>
        <w:t>reduce</w:t>
      </w:r>
      <w:r w:rsidR="00DE72C5">
        <w:rPr>
          <w:lang w:val="en-GB"/>
        </w:rPr>
        <w:t xml:space="preserve"> carbon emission, but also will facilitate and accelerate the penetration of green hydrogen in the energy mix.  </w:t>
      </w:r>
    </w:p>
    <w:p w14:paraId="4F1327F8" w14:textId="77777777" w:rsidR="00600535" w:rsidRPr="00B57B36" w:rsidRDefault="00600535" w:rsidP="00600535">
      <w:pPr>
        <w:pStyle w:val="CETReference"/>
      </w:pPr>
      <w:r w:rsidRPr="00B57B36">
        <w:t>References</w:t>
      </w:r>
    </w:p>
    <w:p w14:paraId="08EC5CCE" w14:textId="44DF0897" w:rsidR="00600535" w:rsidRPr="006B4888" w:rsidRDefault="00A13252" w:rsidP="006B4888">
      <w:pPr>
        <w:pStyle w:val="CETReferencetext"/>
      </w:pPr>
      <w:proofErr w:type="spellStart"/>
      <w:r>
        <w:t>Akinbami</w:t>
      </w:r>
      <w:proofErr w:type="spellEnd"/>
      <w:r>
        <w:t xml:space="preserve">, O.M., </w:t>
      </w:r>
      <w:proofErr w:type="spellStart"/>
      <w:r>
        <w:t>Oke</w:t>
      </w:r>
      <w:proofErr w:type="spellEnd"/>
      <w:r>
        <w:t xml:space="preserve">, S.R., </w:t>
      </w:r>
      <w:proofErr w:type="spellStart"/>
      <w:r>
        <w:t>Bodunrin</w:t>
      </w:r>
      <w:proofErr w:type="spellEnd"/>
      <w:r>
        <w:t>, M.O.</w:t>
      </w:r>
      <w:r w:rsidR="00600535" w:rsidRPr="006B4888">
        <w:t>, 20</w:t>
      </w:r>
      <w:r>
        <w:t>21</w:t>
      </w:r>
      <w:r w:rsidR="00600535" w:rsidRPr="006B4888">
        <w:t xml:space="preserve">, </w:t>
      </w:r>
      <w:r>
        <w:t>The State of Renewable Energy Development in South Africa: An Overview</w:t>
      </w:r>
      <w:r w:rsidR="00600535" w:rsidRPr="006B4888">
        <w:t xml:space="preserve">, </w:t>
      </w:r>
      <w:r>
        <w:t>Alexandria Engineering Journal</w:t>
      </w:r>
      <w:r w:rsidR="00830996" w:rsidRPr="006B4888">
        <w:t>, 6</w:t>
      </w:r>
      <w:r w:rsidR="002F46BD">
        <w:t>0</w:t>
      </w:r>
      <w:r w:rsidR="00830996" w:rsidRPr="006B4888">
        <w:t xml:space="preserve">, </w:t>
      </w:r>
      <w:r w:rsidR="002F46BD">
        <w:t>5077</w:t>
      </w:r>
      <w:r w:rsidR="00830996" w:rsidRPr="006B4888">
        <w:t>–</w:t>
      </w:r>
      <w:r w:rsidR="002F46BD">
        <w:t>5093</w:t>
      </w:r>
      <w:r w:rsidR="00830996" w:rsidRPr="006B4888">
        <w:t>.</w:t>
      </w:r>
    </w:p>
    <w:p w14:paraId="6EB0EFEC" w14:textId="4A3666C5" w:rsidR="00600535" w:rsidRPr="006B4888" w:rsidRDefault="002F46BD" w:rsidP="006B4888">
      <w:pPr>
        <w:pStyle w:val="CETReferencetext"/>
      </w:pPr>
      <w:r>
        <w:t>BP</w:t>
      </w:r>
      <w:r w:rsidR="00600535" w:rsidRPr="006B4888">
        <w:t>, 201</w:t>
      </w:r>
      <w:r>
        <w:t>9</w:t>
      </w:r>
      <w:r w:rsidR="00600535" w:rsidRPr="006B4888">
        <w:t xml:space="preserve">, </w:t>
      </w:r>
      <w:r>
        <w:t>BP Statistical Review of World Energy, 68</w:t>
      </w:r>
      <w:r w:rsidRPr="002F46BD">
        <w:rPr>
          <w:vertAlign w:val="superscript"/>
        </w:rPr>
        <w:t>th</w:t>
      </w:r>
      <w:r>
        <w:t xml:space="preserve"> Edition</w:t>
      </w:r>
      <w:r w:rsidR="00693766">
        <w:t>.</w:t>
      </w:r>
    </w:p>
    <w:p w14:paraId="290A4BF9" w14:textId="0493409F" w:rsidR="00600535" w:rsidRDefault="00F30E6C" w:rsidP="006B4888">
      <w:pPr>
        <w:pStyle w:val="CETReferencetext"/>
      </w:pPr>
      <w:r>
        <w:t>Eskom</w:t>
      </w:r>
      <w:r w:rsidR="00600535" w:rsidRPr="006B4888">
        <w:t>, 20</w:t>
      </w:r>
      <w:r>
        <w:t>1</w:t>
      </w:r>
      <w:r w:rsidR="00600535" w:rsidRPr="006B4888">
        <w:t xml:space="preserve">9, </w:t>
      </w:r>
      <w:r>
        <w:t>2019 Integrated Report</w:t>
      </w:r>
      <w:r w:rsidR="00600535" w:rsidRPr="006B4888">
        <w:t>.</w:t>
      </w:r>
    </w:p>
    <w:p w14:paraId="49230024" w14:textId="53716E24" w:rsidR="00F30E6C" w:rsidRDefault="00F30E6C" w:rsidP="00F30E6C">
      <w:pPr>
        <w:pStyle w:val="CETReferencetext"/>
      </w:pPr>
      <w:r>
        <w:t>Eskom</w:t>
      </w:r>
      <w:r w:rsidRPr="006B4888">
        <w:t>, 20</w:t>
      </w:r>
      <w:r>
        <w:t>21</w:t>
      </w:r>
      <w:r w:rsidRPr="006B4888">
        <w:t xml:space="preserve">, </w:t>
      </w:r>
      <w:r>
        <w:t>2021 Integrated Report</w:t>
      </w:r>
      <w:r w:rsidRPr="006B4888">
        <w:t>.</w:t>
      </w:r>
    </w:p>
    <w:p w14:paraId="6320350F" w14:textId="606E170C" w:rsidR="00C32712" w:rsidRDefault="00C32712" w:rsidP="006B4888">
      <w:pPr>
        <w:pStyle w:val="CETReferencetext"/>
      </w:pPr>
      <w:proofErr w:type="spellStart"/>
      <w:r>
        <w:t>Gursan</w:t>
      </w:r>
      <w:proofErr w:type="spellEnd"/>
      <w:r>
        <w:t xml:space="preserve">, C., de </w:t>
      </w:r>
      <w:proofErr w:type="spellStart"/>
      <w:r>
        <w:t>Gooyert</w:t>
      </w:r>
      <w:proofErr w:type="spellEnd"/>
      <w:r>
        <w:t xml:space="preserve">, V., 2021, The Systemic Impact of a Transition Fuel: Does Natural Gas Help or Hinder the Energy </w:t>
      </w:r>
      <w:proofErr w:type="gramStart"/>
      <w:r>
        <w:t>Transition?,</w:t>
      </w:r>
      <w:proofErr w:type="gramEnd"/>
      <w:r>
        <w:t xml:space="preserve"> Renewable and Sustainable Energy Reviews</w:t>
      </w:r>
      <w:r w:rsidR="00872FB8">
        <w:t xml:space="preserve">, 138, 110552. </w:t>
      </w:r>
    </w:p>
    <w:p w14:paraId="4783023E" w14:textId="28EB3A16" w:rsidR="001D420F" w:rsidRDefault="001D420F" w:rsidP="006B4888">
      <w:pPr>
        <w:pStyle w:val="CETReferencetext"/>
      </w:pPr>
      <w:r>
        <w:t>IEA, 2019, Africa Energy Outlook 2019, International Energy Agency, Paris.</w:t>
      </w:r>
    </w:p>
    <w:p w14:paraId="48219A29" w14:textId="72FA7A53" w:rsidR="00CB35AF" w:rsidRDefault="00CB35AF" w:rsidP="00CB35AF">
      <w:pPr>
        <w:pStyle w:val="CETReferencetext"/>
      </w:pPr>
      <w:r>
        <w:t>IEA, 2021, World Energy Balances, International Energy Agency, Paris.</w:t>
      </w:r>
    </w:p>
    <w:p w14:paraId="7D778183" w14:textId="3D5DC044" w:rsidR="00944A09" w:rsidRDefault="00944A09" w:rsidP="006B4888">
      <w:pPr>
        <w:pStyle w:val="CETReferencetext"/>
      </w:pPr>
      <w:r>
        <w:t xml:space="preserve">IRENA, 2021, IRENA Statistics Database, International Renewable Energy Agency, Abu Dhabi. </w:t>
      </w:r>
    </w:p>
    <w:p w14:paraId="79FF3BDE" w14:textId="04E5C306" w:rsidR="00F30E6C" w:rsidRDefault="00F30E6C" w:rsidP="006B4888">
      <w:pPr>
        <w:pStyle w:val="CETReferencetext"/>
      </w:pPr>
      <w:r>
        <w:t>IRENA</w:t>
      </w:r>
      <w:r w:rsidR="001D420F">
        <w:t xml:space="preserve"> and AfDB, 2022, Renewable Energy Market Analysis: Africa and its Region, International Renewable Energy Agency (IRENA) and African Development Bank (AfDB), Abu Dhabi and Abidjan. </w:t>
      </w:r>
    </w:p>
    <w:p w14:paraId="1BE406E5" w14:textId="54319BCB" w:rsidR="002E739B" w:rsidRDefault="0052463E" w:rsidP="006B4888">
      <w:pPr>
        <w:pStyle w:val="CETReferencetext"/>
      </w:pPr>
      <w:r>
        <w:t xml:space="preserve">Marven, B., Burton, J., Lehmann-Grube, P., </w:t>
      </w:r>
      <w:r w:rsidR="00EF19C9">
        <w:t xml:space="preserve">2021, </w:t>
      </w:r>
      <w:r>
        <w:t>Assessment of New Coal Generation Capacity Targets in South Africa’s 2019 Integrated Resource Plan for Electricity</w:t>
      </w:r>
      <w:r w:rsidR="00EF19C9">
        <w:t xml:space="preserve">, ESRG (Energy </w:t>
      </w:r>
      <w:r w:rsidR="00D8319D">
        <w:t>Systems</w:t>
      </w:r>
      <w:r w:rsidR="00EF19C9">
        <w:t xml:space="preserve"> Research Group), University of Cape Town, 01 November 2021. </w:t>
      </w:r>
    </w:p>
    <w:p w14:paraId="6021A41C" w14:textId="5268DC9B" w:rsidR="002E739B" w:rsidRDefault="002E739B" w:rsidP="006B4888">
      <w:pPr>
        <w:pStyle w:val="CETReferencetext"/>
      </w:pPr>
      <w:proofErr w:type="spellStart"/>
      <w:r>
        <w:t>Ratshomo</w:t>
      </w:r>
      <w:proofErr w:type="spellEnd"/>
      <w:r>
        <w:t xml:space="preserve">, K. and </w:t>
      </w:r>
      <w:proofErr w:type="spellStart"/>
      <w:r>
        <w:t>Nembahe</w:t>
      </w:r>
      <w:proofErr w:type="spellEnd"/>
      <w:r>
        <w:t>, R., 2021, The South African Energy Sector Report 2021, Department of Mineral Resources and Energy.</w:t>
      </w:r>
    </w:p>
    <w:p w14:paraId="0B116AF3" w14:textId="594FA960" w:rsidR="00600535" w:rsidRPr="006B4888" w:rsidRDefault="001578D3" w:rsidP="006B4888">
      <w:pPr>
        <w:pStyle w:val="CETReferencetext"/>
      </w:pPr>
      <w:r>
        <w:t>SABOA</w:t>
      </w:r>
      <w:r w:rsidR="00600535" w:rsidRPr="006B4888">
        <w:t xml:space="preserve">, </w:t>
      </w:r>
      <w:r>
        <w:t>2021</w:t>
      </w:r>
      <w:r w:rsidR="00600535" w:rsidRPr="006B4888">
        <w:t xml:space="preserve">, </w:t>
      </w:r>
      <w:r>
        <w:t>NHTS-National Household Travel Survey 2020-SABOA (South African Bus Operators Association) Summary, 8 March 2021</w:t>
      </w:r>
      <w:r w:rsidR="00600535" w:rsidRPr="006B4888">
        <w:t>.</w:t>
      </w:r>
    </w:p>
    <w:p w14:paraId="2C94BE41" w14:textId="43B60B0A" w:rsidR="00F23199" w:rsidRDefault="00F23199" w:rsidP="001578D3">
      <w:pPr>
        <w:pStyle w:val="CETReferencetext"/>
      </w:pPr>
      <w:r>
        <w:t xml:space="preserve">SAGMP, 2021, </w:t>
      </w:r>
      <w:r w:rsidR="00C35ACB">
        <w:t>South African Gas</w:t>
      </w:r>
      <w:r w:rsidR="00D8319D">
        <w:t xml:space="preserve"> Master Plan: Base case Report (v 01) Stakeholder Consultation, Department of Mineral Resources and Energy, September 2021. </w:t>
      </w:r>
      <w:r w:rsidR="00C35ACB">
        <w:t xml:space="preserve"> </w:t>
      </w:r>
    </w:p>
    <w:p w14:paraId="0D8C2DA5" w14:textId="0807C171" w:rsidR="001578D3" w:rsidRPr="006B4888" w:rsidRDefault="001578D3" w:rsidP="001578D3">
      <w:pPr>
        <w:pStyle w:val="CETReferencetext"/>
      </w:pPr>
      <w:r>
        <w:t>SAPIA</w:t>
      </w:r>
      <w:r w:rsidRPr="006B4888">
        <w:t xml:space="preserve">, </w:t>
      </w:r>
      <w:r>
        <w:t>2019</w:t>
      </w:r>
      <w:r w:rsidRPr="006B4888">
        <w:t xml:space="preserve">, </w:t>
      </w:r>
      <w:r>
        <w:t>The Economic Contribution of the Downstream Oil Industr</w:t>
      </w:r>
      <w:r w:rsidR="00A13252">
        <w:t xml:space="preserve">y to South Africa in 2019. </w:t>
      </w:r>
    </w:p>
    <w:p w14:paraId="6042BC9B" w14:textId="27B78887" w:rsidR="00671D4A" w:rsidRDefault="00671D4A" w:rsidP="00CB35AF">
      <w:pPr>
        <w:pStyle w:val="CETReferencetext"/>
      </w:pPr>
      <w:proofErr w:type="spellStart"/>
      <w:r>
        <w:t>Tordoir</w:t>
      </w:r>
      <w:proofErr w:type="spellEnd"/>
      <w:r>
        <w:t>, P., 2022, Is Natural Gas the Next Coal? A Framework for Utilities and Governments to Think About the Place of Natural Gas in the Energy Mix, The Electricity Journal, 35, 107077.</w:t>
      </w:r>
    </w:p>
    <w:p w14:paraId="6FAA4342" w14:textId="699FA8D8" w:rsidR="00C52C3C" w:rsidRDefault="00CB35AF" w:rsidP="00E65B91">
      <w:pPr>
        <w:pStyle w:val="CETReferencetext"/>
      </w:pPr>
      <w:r>
        <w:t>UNDP, 2018, Climate Change Adaptation in Africa: UNDP Synthesis of Experiences and Recommendations 2000-2015, United Nations Development Programme.</w:t>
      </w: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0D8D" w14:textId="77777777" w:rsidR="00B1634E" w:rsidRDefault="00B1634E" w:rsidP="004F5E36">
      <w:r>
        <w:separator/>
      </w:r>
    </w:p>
  </w:endnote>
  <w:endnote w:type="continuationSeparator" w:id="0">
    <w:p w14:paraId="2592DFD4" w14:textId="77777777" w:rsidR="00B1634E" w:rsidRDefault="00B163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BEDD" w14:textId="77777777" w:rsidR="00B1634E" w:rsidRDefault="00B1634E" w:rsidP="004F5E36">
      <w:r>
        <w:separator/>
      </w:r>
    </w:p>
  </w:footnote>
  <w:footnote w:type="continuationSeparator" w:id="0">
    <w:p w14:paraId="7B7BCBB4" w14:textId="77777777" w:rsidR="00B1634E" w:rsidRDefault="00B1634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EE3FB2"/>
    <w:multiLevelType w:val="hybridMultilevel"/>
    <w:tmpl w:val="5AC80B8C"/>
    <w:lvl w:ilvl="0" w:tplc="F050F2B2">
      <w:start w:val="8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9327468">
    <w:abstractNumId w:val="10"/>
  </w:num>
  <w:num w:numId="2" w16cid:durableId="1773739383">
    <w:abstractNumId w:val="8"/>
  </w:num>
  <w:num w:numId="3" w16cid:durableId="965937997">
    <w:abstractNumId w:val="3"/>
  </w:num>
  <w:num w:numId="4" w16cid:durableId="18940852">
    <w:abstractNumId w:val="2"/>
  </w:num>
  <w:num w:numId="5" w16cid:durableId="1830906638">
    <w:abstractNumId w:val="1"/>
  </w:num>
  <w:num w:numId="6" w16cid:durableId="1262101791">
    <w:abstractNumId w:val="0"/>
  </w:num>
  <w:num w:numId="7" w16cid:durableId="542400703">
    <w:abstractNumId w:val="9"/>
  </w:num>
  <w:num w:numId="8" w16cid:durableId="108470545">
    <w:abstractNumId w:val="7"/>
  </w:num>
  <w:num w:numId="9" w16cid:durableId="147869745">
    <w:abstractNumId w:val="6"/>
  </w:num>
  <w:num w:numId="10" w16cid:durableId="1149632801">
    <w:abstractNumId w:val="5"/>
  </w:num>
  <w:num w:numId="11" w16cid:durableId="287780449">
    <w:abstractNumId w:val="4"/>
  </w:num>
  <w:num w:numId="12" w16cid:durableId="2085029814">
    <w:abstractNumId w:val="18"/>
  </w:num>
  <w:num w:numId="13" w16cid:durableId="906958360">
    <w:abstractNumId w:val="13"/>
  </w:num>
  <w:num w:numId="14" w16cid:durableId="1490173798">
    <w:abstractNumId w:val="19"/>
  </w:num>
  <w:num w:numId="15" w16cid:durableId="263004448">
    <w:abstractNumId w:val="21"/>
  </w:num>
  <w:num w:numId="16" w16cid:durableId="146092110">
    <w:abstractNumId w:val="20"/>
  </w:num>
  <w:num w:numId="17" w16cid:durableId="1659069340">
    <w:abstractNumId w:val="12"/>
  </w:num>
  <w:num w:numId="18" w16cid:durableId="326910506">
    <w:abstractNumId w:val="13"/>
    <w:lvlOverride w:ilvl="0">
      <w:startOverride w:val="1"/>
    </w:lvlOverride>
  </w:num>
  <w:num w:numId="19" w16cid:durableId="99883016">
    <w:abstractNumId w:val="17"/>
  </w:num>
  <w:num w:numId="20" w16cid:durableId="2003197552">
    <w:abstractNumId w:val="16"/>
  </w:num>
  <w:num w:numId="21" w16cid:durableId="1558471585">
    <w:abstractNumId w:val="15"/>
  </w:num>
  <w:num w:numId="22" w16cid:durableId="932519535">
    <w:abstractNumId w:val="14"/>
  </w:num>
  <w:num w:numId="23" w16cid:durableId="349070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2EB"/>
    <w:rsid w:val="000027C0"/>
    <w:rsid w:val="000052FB"/>
    <w:rsid w:val="000117CB"/>
    <w:rsid w:val="0001187C"/>
    <w:rsid w:val="00014B5E"/>
    <w:rsid w:val="000228EE"/>
    <w:rsid w:val="0003148D"/>
    <w:rsid w:val="00031EEC"/>
    <w:rsid w:val="00032F1B"/>
    <w:rsid w:val="00047422"/>
    <w:rsid w:val="00051566"/>
    <w:rsid w:val="00053B4D"/>
    <w:rsid w:val="00062A9A"/>
    <w:rsid w:val="00064371"/>
    <w:rsid w:val="00065058"/>
    <w:rsid w:val="00074CF9"/>
    <w:rsid w:val="000767AA"/>
    <w:rsid w:val="000777BD"/>
    <w:rsid w:val="00081E9B"/>
    <w:rsid w:val="00086C39"/>
    <w:rsid w:val="000A03B2"/>
    <w:rsid w:val="000A1109"/>
    <w:rsid w:val="000A40DF"/>
    <w:rsid w:val="000B1A94"/>
    <w:rsid w:val="000D0268"/>
    <w:rsid w:val="000D34BE"/>
    <w:rsid w:val="000E102F"/>
    <w:rsid w:val="000E36F1"/>
    <w:rsid w:val="000E3A73"/>
    <w:rsid w:val="000E414A"/>
    <w:rsid w:val="000F093C"/>
    <w:rsid w:val="000F117F"/>
    <w:rsid w:val="000F2F6B"/>
    <w:rsid w:val="000F6E3F"/>
    <w:rsid w:val="000F787B"/>
    <w:rsid w:val="0010017C"/>
    <w:rsid w:val="001122E0"/>
    <w:rsid w:val="001128DF"/>
    <w:rsid w:val="00113570"/>
    <w:rsid w:val="001144DF"/>
    <w:rsid w:val="00116243"/>
    <w:rsid w:val="0012091F"/>
    <w:rsid w:val="00122374"/>
    <w:rsid w:val="00126BC2"/>
    <w:rsid w:val="001308B6"/>
    <w:rsid w:val="00130D55"/>
    <w:rsid w:val="0013121F"/>
    <w:rsid w:val="00131FE6"/>
    <w:rsid w:val="0013263F"/>
    <w:rsid w:val="001331DF"/>
    <w:rsid w:val="00134DE4"/>
    <w:rsid w:val="0014034D"/>
    <w:rsid w:val="00144D16"/>
    <w:rsid w:val="00150DB0"/>
    <w:rsid w:val="00150E59"/>
    <w:rsid w:val="00152DE3"/>
    <w:rsid w:val="001535C0"/>
    <w:rsid w:val="001578D3"/>
    <w:rsid w:val="001600B4"/>
    <w:rsid w:val="00162D83"/>
    <w:rsid w:val="00163440"/>
    <w:rsid w:val="00164CF9"/>
    <w:rsid w:val="001667A6"/>
    <w:rsid w:val="00184AD6"/>
    <w:rsid w:val="00186A2C"/>
    <w:rsid w:val="00186F06"/>
    <w:rsid w:val="00190894"/>
    <w:rsid w:val="00197C7B"/>
    <w:rsid w:val="001A274A"/>
    <w:rsid w:val="001A3517"/>
    <w:rsid w:val="001A4AF7"/>
    <w:rsid w:val="001B0349"/>
    <w:rsid w:val="001B1E93"/>
    <w:rsid w:val="001B65C1"/>
    <w:rsid w:val="001C0521"/>
    <w:rsid w:val="001C1EB0"/>
    <w:rsid w:val="001C684B"/>
    <w:rsid w:val="001D0CFB"/>
    <w:rsid w:val="001D21AF"/>
    <w:rsid w:val="001D420F"/>
    <w:rsid w:val="001D4620"/>
    <w:rsid w:val="001D53FC"/>
    <w:rsid w:val="001E46E3"/>
    <w:rsid w:val="001E5721"/>
    <w:rsid w:val="001F3BE0"/>
    <w:rsid w:val="001F42A5"/>
    <w:rsid w:val="001F44A5"/>
    <w:rsid w:val="001F4C3E"/>
    <w:rsid w:val="001F7B9D"/>
    <w:rsid w:val="00201C93"/>
    <w:rsid w:val="0020211B"/>
    <w:rsid w:val="002224B4"/>
    <w:rsid w:val="00222C7F"/>
    <w:rsid w:val="002230D3"/>
    <w:rsid w:val="002438F3"/>
    <w:rsid w:val="002439EA"/>
    <w:rsid w:val="002447EF"/>
    <w:rsid w:val="0025128E"/>
    <w:rsid w:val="00251550"/>
    <w:rsid w:val="00257F9F"/>
    <w:rsid w:val="00263B05"/>
    <w:rsid w:val="00270104"/>
    <w:rsid w:val="0027221A"/>
    <w:rsid w:val="00275B61"/>
    <w:rsid w:val="00280FAF"/>
    <w:rsid w:val="00282656"/>
    <w:rsid w:val="002827DA"/>
    <w:rsid w:val="00285384"/>
    <w:rsid w:val="00291CA6"/>
    <w:rsid w:val="002966ED"/>
    <w:rsid w:val="00296B83"/>
    <w:rsid w:val="00296F7D"/>
    <w:rsid w:val="002A467F"/>
    <w:rsid w:val="002B4015"/>
    <w:rsid w:val="002B5560"/>
    <w:rsid w:val="002B5C51"/>
    <w:rsid w:val="002B7104"/>
    <w:rsid w:val="002B78CE"/>
    <w:rsid w:val="002C2FB6"/>
    <w:rsid w:val="002C38CA"/>
    <w:rsid w:val="002D0CE7"/>
    <w:rsid w:val="002D4CF0"/>
    <w:rsid w:val="002E5FA7"/>
    <w:rsid w:val="002E739B"/>
    <w:rsid w:val="002F3309"/>
    <w:rsid w:val="002F46BD"/>
    <w:rsid w:val="002F4BFA"/>
    <w:rsid w:val="002F6B6A"/>
    <w:rsid w:val="003008CE"/>
    <w:rsid w:val="003009B7"/>
    <w:rsid w:val="00300E56"/>
    <w:rsid w:val="0030469C"/>
    <w:rsid w:val="00305E2D"/>
    <w:rsid w:val="00317E70"/>
    <w:rsid w:val="00321CA6"/>
    <w:rsid w:val="00323763"/>
    <w:rsid w:val="0032729D"/>
    <w:rsid w:val="00334C09"/>
    <w:rsid w:val="00336D50"/>
    <w:rsid w:val="00362455"/>
    <w:rsid w:val="003723D4"/>
    <w:rsid w:val="00381905"/>
    <w:rsid w:val="00384CC8"/>
    <w:rsid w:val="003871FD"/>
    <w:rsid w:val="00387AE0"/>
    <w:rsid w:val="003A1E30"/>
    <w:rsid w:val="003A2829"/>
    <w:rsid w:val="003A7D1C"/>
    <w:rsid w:val="003B1E78"/>
    <w:rsid w:val="003B304B"/>
    <w:rsid w:val="003B3146"/>
    <w:rsid w:val="003C2D88"/>
    <w:rsid w:val="003C3E1E"/>
    <w:rsid w:val="003D0EF6"/>
    <w:rsid w:val="003D14F0"/>
    <w:rsid w:val="003E7DEF"/>
    <w:rsid w:val="003F015E"/>
    <w:rsid w:val="00400414"/>
    <w:rsid w:val="004040D7"/>
    <w:rsid w:val="0041446B"/>
    <w:rsid w:val="004301A0"/>
    <w:rsid w:val="00435FFA"/>
    <w:rsid w:val="00436670"/>
    <w:rsid w:val="0044071E"/>
    <w:rsid w:val="00441983"/>
    <w:rsid w:val="0044277F"/>
    <w:rsid w:val="00442C9E"/>
    <w:rsid w:val="00443064"/>
    <w:rsid w:val="0044329C"/>
    <w:rsid w:val="0044652C"/>
    <w:rsid w:val="00452907"/>
    <w:rsid w:val="00453E24"/>
    <w:rsid w:val="00457456"/>
    <w:rsid w:val="004577FE"/>
    <w:rsid w:val="00457B9C"/>
    <w:rsid w:val="0046164A"/>
    <w:rsid w:val="004628B3"/>
    <w:rsid w:val="004628D2"/>
    <w:rsid w:val="00462DCD"/>
    <w:rsid w:val="004648AD"/>
    <w:rsid w:val="004703A9"/>
    <w:rsid w:val="00475CC0"/>
    <w:rsid w:val="004760DE"/>
    <w:rsid w:val="004763D7"/>
    <w:rsid w:val="00490619"/>
    <w:rsid w:val="0049234A"/>
    <w:rsid w:val="004A004E"/>
    <w:rsid w:val="004A14FD"/>
    <w:rsid w:val="004A24CF"/>
    <w:rsid w:val="004C3D1D"/>
    <w:rsid w:val="004C3D84"/>
    <w:rsid w:val="004C639D"/>
    <w:rsid w:val="004C7913"/>
    <w:rsid w:val="004D2F47"/>
    <w:rsid w:val="004E0576"/>
    <w:rsid w:val="004E10AA"/>
    <w:rsid w:val="004E4B22"/>
    <w:rsid w:val="004E4DD6"/>
    <w:rsid w:val="004E5732"/>
    <w:rsid w:val="004E6192"/>
    <w:rsid w:val="004F5E36"/>
    <w:rsid w:val="00507B47"/>
    <w:rsid w:val="00507BEF"/>
    <w:rsid w:val="00507CC9"/>
    <w:rsid w:val="005119A5"/>
    <w:rsid w:val="005234FC"/>
    <w:rsid w:val="0052463E"/>
    <w:rsid w:val="005278B7"/>
    <w:rsid w:val="00532016"/>
    <w:rsid w:val="005346C8"/>
    <w:rsid w:val="00543E7D"/>
    <w:rsid w:val="0054597B"/>
    <w:rsid w:val="00547A68"/>
    <w:rsid w:val="005531C9"/>
    <w:rsid w:val="00556B50"/>
    <w:rsid w:val="00561706"/>
    <w:rsid w:val="00562870"/>
    <w:rsid w:val="0056441F"/>
    <w:rsid w:val="00570C43"/>
    <w:rsid w:val="00573EA5"/>
    <w:rsid w:val="00574DA0"/>
    <w:rsid w:val="005779D0"/>
    <w:rsid w:val="0058268F"/>
    <w:rsid w:val="00584458"/>
    <w:rsid w:val="00587F2A"/>
    <w:rsid w:val="00590B11"/>
    <w:rsid w:val="00590E20"/>
    <w:rsid w:val="005A4822"/>
    <w:rsid w:val="005B2110"/>
    <w:rsid w:val="005B4531"/>
    <w:rsid w:val="005B61E6"/>
    <w:rsid w:val="005C63A5"/>
    <w:rsid w:val="005C77E1"/>
    <w:rsid w:val="005D31C3"/>
    <w:rsid w:val="005D51FA"/>
    <w:rsid w:val="005D668A"/>
    <w:rsid w:val="005D6A2F"/>
    <w:rsid w:val="005D7558"/>
    <w:rsid w:val="005E1A82"/>
    <w:rsid w:val="005E5E5F"/>
    <w:rsid w:val="005E794C"/>
    <w:rsid w:val="005F0A28"/>
    <w:rsid w:val="005F0E5E"/>
    <w:rsid w:val="005F21FB"/>
    <w:rsid w:val="00600535"/>
    <w:rsid w:val="00600A8F"/>
    <w:rsid w:val="00603C67"/>
    <w:rsid w:val="006059F8"/>
    <w:rsid w:val="00610CD6"/>
    <w:rsid w:val="00613F7B"/>
    <w:rsid w:val="0061638D"/>
    <w:rsid w:val="00617410"/>
    <w:rsid w:val="00617464"/>
    <w:rsid w:val="00620DEE"/>
    <w:rsid w:val="00620FC3"/>
    <w:rsid w:val="00621F92"/>
    <w:rsid w:val="0062280A"/>
    <w:rsid w:val="00625639"/>
    <w:rsid w:val="00631849"/>
    <w:rsid w:val="00631B33"/>
    <w:rsid w:val="006357E1"/>
    <w:rsid w:val="0064184D"/>
    <w:rsid w:val="006422CC"/>
    <w:rsid w:val="0064646F"/>
    <w:rsid w:val="006523A1"/>
    <w:rsid w:val="00652DC5"/>
    <w:rsid w:val="00653422"/>
    <w:rsid w:val="00654064"/>
    <w:rsid w:val="00660E3E"/>
    <w:rsid w:val="00662E74"/>
    <w:rsid w:val="00662F49"/>
    <w:rsid w:val="00671D4A"/>
    <w:rsid w:val="00674B54"/>
    <w:rsid w:val="00680C23"/>
    <w:rsid w:val="00680FB1"/>
    <w:rsid w:val="00690EA0"/>
    <w:rsid w:val="00692B38"/>
    <w:rsid w:val="00693766"/>
    <w:rsid w:val="00694182"/>
    <w:rsid w:val="006A3281"/>
    <w:rsid w:val="006A7062"/>
    <w:rsid w:val="006B1EF2"/>
    <w:rsid w:val="006B2D8C"/>
    <w:rsid w:val="006B4888"/>
    <w:rsid w:val="006B54A6"/>
    <w:rsid w:val="006C2E45"/>
    <w:rsid w:val="006C359C"/>
    <w:rsid w:val="006C5579"/>
    <w:rsid w:val="006C7F68"/>
    <w:rsid w:val="006D010A"/>
    <w:rsid w:val="006D48B2"/>
    <w:rsid w:val="006D6E8B"/>
    <w:rsid w:val="006E24E1"/>
    <w:rsid w:val="006E737D"/>
    <w:rsid w:val="006F3B45"/>
    <w:rsid w:val="00712747"/>
    <w:rsid w:val="00713973"/>
    <w:rsid w:val="00720A24"/>
    <w:rsid w:val="00723F97"/>
    <w:rsid w:val="00724111"/>
    <w:rsid w:val="00732386"/>
    <w:rsid w:val="0073514D"/>
    <w:rsid w:val="00743588"/>
    <w:rsid w:val="007447F3"/>
    <w:rsid w:val="0075499F"/>
    <w:rsid w:val="007627C2"/>
    <w:rsid w:val="00763162"/>
    <w:rsid w:val="007661C8"/>
    <w:rsid w:val="007675C1"/>
    <w:rsid w:val="0077098D"/>
    <w:rsid w:val="007931FA"/>
    <w:rsid w:val="00794977"/>
    <w:rsid w:val="007954C6"/>
    <w:rsid w:val="007A1095"/>
    <w:rsid w:val="007A4861"/>
    <w:rsid w:val="007A7BBA"/>
    <w:rsid w:val="007B0C50"/>
    <w:rsid w:val="007B196C"/>
    <w:rsid w:val="007B48F9"/>
    <w:rsid w:val="007C1799"/>
    <w:rsid w:val="007C1A43"/>
    <w:rsid w:val="007D40BA"/>
    <w:rsid w:val="007D74F3"/>
    <w:rsid w:val="007E46E3"/>
    <w:rsid w:val="007E5B68"/>
    <w:rsid w:val="0080013E"/>
    <w:rsid w:val="00806BB0"/>
    <w:rsid w:val="00813288"/>
    <w:rsid w:val="008168FC"/>
    <w:rsid w:val="00830996"/>
    <w:rsid w:val="008327F9"/>
    <w:rsid w:val="008345F1"/>
    <w:rsid w:val="00840CF6"/>
    <w:rsid w:val="00845EF4"/>
    <w:rsid w:val="00846179"/>
    <w:rsid w:val="00865B07"/>
    <w:rsid w:val="008667EA"/>
    <w:rsid w:val="00872FB8"/>
    <w:rsid w:val="00873FDC"/>
    <w:rsid w:val="0087637F"/>
    <w:rsid w:val="008801F0"/>
    <w:rsid w:val="00883A20"/>
    <w:rsid w:val="008867FA"/>
    <w:rsid w:val="00891756"/>
    <w:rsid w:val="00892AD5"/>
    <w:rsid w:val="0089519F"/>
    <w:rsid w:val="008A1512"/>
    <w:rsid w:val="008A2AE0"/>
    <w:rsid w:val="008A2D08"/>
    <w:rsid w:val="008A7FEF"/>
    <w:rsid w:val="008B020E"/>
    <w:rsid w:val="008B1186"/>
    <w:rsid w:val="008D32B9"/>
    <w:rsid w:val="008D433B"/>
    <w:rsid w:val="008D4A16"/>
    <w:rsid w:val="008D558D"/>
    <w:rsid w:val="008E0A3E"/>
    <w:rsid w:val="008E566E"/>
    <w:rsid w:val="008F1B5E"/>
    <w:rsid w:val="0090161A"/>
    <w:rsid w:val="00901EB6"/>
    <w:rsid w:val="00904C62"/>
    <w:rsid w:val="00913BE3"/>
    <w:rsid w:val="0092027F"/>
    <w:rsid w:val="00922BA8"/>
    <w:rsid w:val="00922FAB"/>
    <w:rsid w:val="00924DAC"/>
    <w:rsid w:val="0092524E"/>
    <w:rsid w:val="00927058"/>
    <w:rsid w:val="00932B7C"/>
    <w:rsid w:val="00933B5F"/>
    <w:rsid w:val="00942750"/>
    <w:rsid w:val="00944A09"/>
    <w:rsid w:val="009450CE"/>
    <w:rsid w:val="00947179"/>
    <w:rsid w:val="00950B23"/>
    <w:rsid w:val="0095164B"/>
    <w:rsid w:val="00951E2B"/>
    <w:rsid w:val="00954090"/>
    <w:rsid w:val="00955F28"/>
    <w:rsid w:val="009573E7"/>
    <w:rsid w:val="00960814"/>
    <w:rsid w:val="00963225"/>
    <w:rsid w:val="00963E05"/>
    <w:rsid w:val="00964A45"/>
    <w:rsid w:val="00967843"/>
    <w:rsid w:val="00967D54"/>
    <w:rsid w:val="00971028"/>
    <w:rsid w:val="0097329C"/>
    <w:rsid w:val="00975363"/>
    <w:rsid w:val="009820A8"/>
    <w:rsid w:val="0098587A"/>
    <w:rsid w:val="00991697"/>
    <w:rsid w:val="00993B84"/>
    <w:rsid w:val="00996483"/>
    <w:rsid w:val="00996F5A"/>
    <w:rsid w:val="009B041A"/>
    <w:rsid w:val="009B144A"/>
    <w:rsid w:val="009B2F3D"/>
    <w:rsid w:val="009C37C3"/>
    <w:rsid w:val="009C7C86"/>
    <w:rsid w:val="009D2FF7"/>
    <w:rsid w:val="009E7884"/>
    <w:rsid w:val="009E788A"/>
    <w:rsid w:val="009F0E08"/>
    <w:rsid w:val="009F0FAD"/>
    <w:rsid w:val="00A01454"/>
    <w:rsid w:val="00A022FC"/>
    <w:rsid w:val="00A0471F"/>
    <w:rsid w:val="00A13252"/>
    <w:rsid w:val="00A15EC9"/>
    <w:rsid w:val="00A1763D"/>
    <w:rsid w:val="00A17CEC"/>
    <w:rsid w:val="00A27EF0"/>
    <w:rsid w:val="00A419C2"/>
    <w:rsid w:val="00A42361"/>
    <w:rsid w:val="00A43BD6"/>
    <w:rsid w:val="00A455FE"/>
    <w:rsid w:val="00A50B20"/>
    <w:rsid w:val="00A51390"/>
    <w:rsid w:val="00A55B0C"/>
    <w:rsid w:val="00A60D13"/>
    <w:rsid w:val="00A63D6F"/>
    <w:rsid w:val="00A70400"/>
    <w:rsid w:val="00A708E6"/>
    <w:rsid w:val="00A7223D"/>
    <w:rsid w:val="00A72745"/>
    <w:rsid w:val="00A76EFC"/>
    <w:rsid w:val="00A8415B"/>
    <w:rsid w:val="00A90356"/>
    <w:rsid w:val="00A91010"/>
    <w:rsid w:val="00A95B35"/>
    <w:rsid w:val="00A97F29"/>
    <w:rsid w:val="00AA4300"/>
    <w:rsid w:val="00AA702E"/>
    <w:rsid w:val="00AA78CB"/>
    <w:rsid w:val="00AB0964"/>
    <w:rsid w:val="00AB37D2"/>
    <w:rsid w:val="00AB3E27"/>
    <w:rsid w:val="00AB4117"/>
    <w:rsid w:val="00AB5011"/>
    <w:rsid w:val="00AC7368"/>
    <w:rsid w:val="00AD16B9"/>
    <w:rsid w:val="00AE2F67"/>
    <w:rsid w:val="00AE344E"/>
    <w:rsid w:val="00AE377D"/>
    <w:rsid w:val="00AF0EBA"/>
    <w:rsid w:val="00AF22AF"/>
    <w:rsid w:val="00AF495F"/>
    <w:rsid w:val="00B02C8A"/>
    <w:rsid w:val="00B033F0"/>
    <w:rsid w:val="00B1634E"/>
    <w:rsid w:val="00B17FBD"/>
    <w:rsid w:val="00B315A6"/>
    <w:rsid w:val="00B31813"/>
    <w:rsid w:val="00B33365"/>
    <w:rsid w:val="00B36EB7"/>
    <w:rsid w:val="00B4044B"/>
    <w:rsid w:val="00B4288E"/>
    <w:rsid w:val="00B57B36"/>
    <w:rsid w:val="00B57E6F"/>
    <w:rsid w:val="00B63650"/>
    <w:rsid w:val="00B653C7"/>
    <w:rsid w:val="00B67E30"/>
    <w:rsid w:val="00B82718"/>
    <w:rsid w:val="00B8686D"/>
    <w:rsid w:val="00B87943"/>
    <w:rsid w:val="00B93F69"/>
    <w:rsid w:val="00B95C83"/>
    <w:rsid w:val="00BA13D8"/>
    <w:rsid w:val="00BA33E8"/>
    <w:rsid w:val="00BB1DDC"/>
    <w:rsid w:val="00BC30C9"/>
    <w:rsid w:val="00BC4093"/>
    <w:rsid w:val="00BD077D"/>
    <w:rsid w:val="00BD7A77"/>
    <w:rsid w:val="00BE3E58"/>
    <w:rsid w:val="00BE45DF"/>
    <w:rsid w:val="00BE5207"/>
    <w:rsid w:val="00BE664C"/>
    <w:rsid w:val="00C01616"/>
    <w:rsid w:val="00C0162B"/>
    <w:rsid w:val="00C030CF"/>
    <w:rsid w:val="00C057A7"/>
    <w:rsid w:val="00C068ED"/>
    <w:rsid w:val="00C12796"/>
    <w:rsid w:val="00C13BD4"/>
    <w:rsid w:val="00C15BB3"/>
    <w:rsid w:val="00C1753B"/>
    <w:rsid w:val="00C227AA"/>
    <w:rsid w:val="00C22E0C"/>
    <w:rsid w:val="00C32712"/>
    <w:rsid w:val="00C345B1"/>
    <w:rsid w:val="00C3570C"/>
    <w:rsid w:val="00C35ACB"/>
    <w:rsid w:val="00C3624B"/>
    <w:rsid w:val="00C40142"/>
    <w:rsid w:val="00C47D8B"/>
    <w:rsid w:val="00C51DB5"/>
    <w:rsid w:val="00C52C3C"/>
    <w:rsid w:val="00C52DFD"/>
    <w:rsid w:val="00C56395"/>
    <w:rsid w:val="00C57182"/>
    <w:rsid w:val="00C57863"/>
    <w:rsid w:val="00C640AF"/>
    <w:rsid w:val="00C655FD"/>
    <w:rsid w:val="00C70B7A"/>
    <w:rsid w:val="00C75407"/>
    <w:rsid w:val="00C80BBB"/>
    <w:rsid w:val="00C870A8"/>
    <w:rsid w:val="00C91082"/>
    <w:rsid w:val="00C94434"/>
    <w:rsid w:val="00C950AC"/>
    <w:rsid w:val="00C97D3D"/>
    <w:rsid w:val="00CA0D75"/>
    <w:rsid w:val="00CA1C95"/>
    <w:rsid w:val="00CA4E0A"/>
    <w:rsid w:val="00CA5A9C"/>
    <w:rsid w:val="00CB35AF"/>
    <w:rsid w:val="00CC4C20"/>
    <w:rsid w:val="00CD0BEE"/>
    <w:rsid w:val="00CD3517"/>
    <w:rsid w:val="00CD5FE2"/>
    <w:rsid w:val="00CE6930"/>
    <w:rsid w:val="00CE7C68"/>
    <w:rsid w:val="00CF5C1B"/>
    <w:rsid w:val="00D01B27"/>
    <w:rsid w:val="00D02B4C"/>
    <w:rsid w:val="00D040C4"/>
    <w:rsid w:val="00D20494"/>
    <w:rsid w:val="00D20AD1"/>
    <w:rsid w:val="00D22B64"/>
    <w:rsid w:val="00D27CBE"/>
    <w:rsid w:val="00D3264F"/>
    <w:rsid w:val="00D36589"/>
    <w:rsid w:val="00D36688"/>
    <w:rsid w:val="00D36A6D"/>
    <w:rsid w:val="00D43D66"/>
    <w:rsid w:val="00D46B7E"/>
    <w:rsid w:val="00D47ECC"/>
    <w:rsid w:val="00D511E1"/>
    <w:rsid w:val="00D56038"/>
    <w:rsid w:val="00D57C84"/>
    <w:rsid w:val="00D6057D"/>
    <w:rsid w:val="00D71640"/>
    <w:rsid w:val="00D8319D"/>
    <w:rsid w:val="00D836C5"/>
    <w:rsid w:val="00D84576"/>
    <w:rsid w:val="00D93595"/>
    <w:rsid w:val="00DA1399"/>
    <w:rsid w:val="00DA24C6"/>
    <w:rsid w:val="00DA24D6"/>
    <w:rsid w:val="00DA4D7B"/>
    <w:rsid w:val="00DB0E6C"/>
    <w:rsid w:val="00DD271C"/>
    <w:rsid w:val="00DD2AD1"/>
    <w:rsid w:val="00DD6A8C"/>
    <w:rsid w:val="00DE042D"/>
    <w:rsid w:val="00DE264A"/>
    <w:rsid w:val="00DE72C5"/>
    <w:rsid w:val="00DF5072"/>
    <w:rsid w:val="00E02D18"/>
    <w:rsid w:val="00E041E7"/>
    <w:rsid w:val="00E1035C"/>
    <w:rsid w:val="00E16E1C"/>
    <w:rsid w:val="00E22FCA"/>
    <w:rsid w:val="00E23CA1"/>
    <w:rsid w:val="00E30DB3"/>
    <w:rsid w:val="00E36056"/>
    <w:rsid w:val="00E37956"/>
    <w:rsid w:val="00E409A8"/>
    <w:rsid w:val="00E40B31"/>
    <w:rsid w:val="00E438A6"/>
    <w:rsid w:val="00E50C12"/>
    <w:rsid w:val="00E5658A"/>
    <w:rsid w:val="00E65B91"/>
    <w:rsid w:val="00E7209D"/>
    <w:rsid w:val="00E72C4C"/>
    <w:rsid w:val="00E72EAD"/>
    <w:rsid w:val="00E73357"/>
    <w:rsid w:val="00E77223"/>
    <w:rsid w:val="00E77A02"/>
    <w:rsid w:val="00E8528B"/>
    <w:rsid w:val="00E85B94"/>
    <w:rsid w:val="00E978D0"/>
    <w:rsid w:val="00EA2F05"/>
    <w:rsid w:val="00EA4613"/>
    <w:rsid w:val="00EA7F91"/>
    <w:rsid w:val="00EB1523"/>
    <w:rsid w:val="00EB2C25"/>
    <w:rsid w:val="00EB3962"/>
    <w:rsid w:val="00EC05D2"/>
    <w:rsid w:val="00EC0E49"/>
    <w:rsid w:val="00EC101F"/>
    <w:rsid w:val="00EC1D9F"/>
    <w:rsid w:val="00ED399E"/>
    <w:rsid w:val="00EE0131"/>
    <w:rsid w:val="00EE17B0"/>
    <w:rsid w:val="00EE6188"/>
    <w:rsid w:val="00EE695C"/>
    <w:rsid w:val="00EE70C1"/>
    <w:rsid w:val="00EF0276"/>
    <w:rsid w:val="00EF06D9"/>
    <w:rsid w:val="00EF19C9"/>
    <w:rsid w:val="00EF26C7"/>
    <w:rsid w:val="00EF2786"/>
    <w:rsid w:val="00F01607"/>
    <w:rsid w:val="00F10F11"/>
    <w:rsid w:val="00F20926"/>
    <w:rsid w:val="00F23199"/>
    <w:rsid w:val="00F23967"/>
    <w:rsid w:val="00F30C64"/>
    <w:rsid w:val="00F30E6C"/>
    <w:rsid w:val="00F32BA2"/>
    <w:rsid w:val="00F32CDB"/>
    <w:rsid w:val="00F33F96"/>
    <w:rsid w:val="00F37040"/>
    <w:rsid w:val="00F4295B"/>
    <w:rsid w:val="00F44227"/>
    <w:rsid w:val="00F460DA"/>
    <w:rsid w:val="00F50DB4"/>
    <w:rsid w:val="00F52480"/>
    <w:rsid w:val="00F565FE"/>
    <w:rsid w:val="00F63A70"/>
    <w:rsid w:val="00F6430A"/>
    <w:rsid w:val="00F75286"/>
    <w:rsid w:val="00F7534E"/>
    <w:rsid w:val="00F7675A"/>
    <w:rsid w:val="00F87DB8"/>
    <w:rsid w:val="00F91D87"/>
    <w:rsid w:val="00FA1802"/>
    <w:rsid w:val="00FA21D0"/>
    <w:rsid w:val="00FA36DD"/>
    <w:rsid w:val="00FA5F5F"/>
    <w:rsid w:val="00FA6EBE"/>
    <w:rsid w:val="00FB730C"/>
    <w:rsid w:val="00FB7856"/>
    <w:rsid w:val="00FC2695"/>
    <w:rsid w:val="00FC3E03"/>
    <w:rsid w:val="00FC3EAE"/>
    <w:rsid w:val="00FC3FC1"/>
    <w:rsid w:val="00FC71F4"/>
    <w:rsid w:val="00FE2574"/>
    <w:rsid w:val="00FE64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4503</Words>
  <Characters>25671</Characters>
  <Application>Microsoft Office Word</Application>
  <DocSecurity>0</DocSecurity>
  <Lines>213</Lines>
  <Paragraphs>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Mokrani, Touhami</cp:lastModifiedBy>
  <cp:revision>2</cp:revision>
  <cp:lastPrinted>2022-06-30T16:56:00Z</cp:lastPrinted>
  <dcterms:created xsi:type="dcterms:W3CDTF">2022-07-13T10:10:00Z</dcterms:created>
  <dcterms:modified xsi:type="dcterms:W3CDTF">2022-07-13T10:10:00Z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